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099E" w:rsidRPr="0072099E" w:rsidRDefault="0072099E" w:rsidP="0072099E">
      <w:pPr>
        <w:pStyle w:val="Heading1"/>
      </w:pPr>
      <w:bookmarkStart w:id="0" w:name="_Toc428357331"/>
      <w:bookmarkStart w:id="1" w:name="_Toc428360925"/>
      <w:bookmarkStart w:id="2" w:name="_Toc428361005"/>
      <w:bookmarkStart w:id="3" w:name="_Toc428361247"/>
      <w:bookmarkStart w:id="4" w:name="_Toc428361418"/>
      <w:bookmarkStart w:id="5" w:name="_Toc428361535"/>
      <w:bookmarkStart w:id="6" w:name="_Toc428362643"/>
      <w:bookmarkStart w:id="7" w:name="_Toc428362746"/>
      <w:bookmarkStart w:id="8" w:name="_GoBack"/>
      <w:bookmarkEnd w:id="8"/>
      <w:r>
        <w:t>A snapshot of blindness and low vision services in Australia</w:t>
      </w:r>
      <w:bookmarkEnd w:id="0"/>
      <w:bookmarkEnd w:id="1"/>
      <w:bookmarkEnd w:id="2"/>
      <w:bookmarkEnd w:id="3"/>
      <w:bookmarkEnd w:id="4"/>
      <w:bookmarkEnd w:id="5"/>
      <w:bookmarkEnd w:id="6"/>
      <w:bookmarkEnd w:id="7"/>
    </w:p>
    <w:p w:rsidR="0072099E" w:rsidRPr="00DC4B7E" w:rsidRDefault="0072099E" w:rsidP="0072099E">
      <w:pPr>
        <w:pStyle w:val="Heading2"/>
      </w:pPr>
      <w:bookmarkStart w:id="9" w:name="_Toc428357332"/>
      <w:bookmarkStart w:id="10" w:name="_Toc428360926"/>
      <w:bookmarkStart w:id="11" w:name="_Toc428361006"/>
      <w:bookmarkStart w:id="12" w:name="_Toc428361248"/>
      <w:bookmarkStart w:id="13" w:name="_Toc428361419"/>
      <w:bookmarkStart w:id="14" w:name="_Toc428361536"/>
      <w:bookmarkStart w:id="15" w:name="_Toc428362644"/>
      <w:bookmarkStart w:id="16" w:name="_Toc428362747"/>
      <w:r w:rsidRPr="00DC4B7E">
        <w:t>August 2015</w:t>
      </w:r>
      <w:bookmarkEnd w:id="9"/>
      <w:bookmarkEnd w:id="10"/>
      <w:bookmarkEnd w:id="11"/>
      <w:bookmarkEnd w:id="12"/>
      <w:bookmarkEnd w:id="13"/>
      <w:bookmarkEnd w:id="14"/>
      <w:bookmarkEnd w:id="15"/>
      <w:bookmarkEnd w:id="16"/>
    </w:p>
    <w:p w:rsidR="0072099E" w:rsidRPr="00DC4B7E" w:rsidRDefault="0072099E" w:rsidP="0072099E">
      <w:pPr>
        <w:pStyle w:val="Heading3"/>
      </w:pPr>
      <w:bookmarkStart w:id="17" w:name="_Toc428357333"/>
      <w:bookmarkStart w:id="18" w:name="_Toc428360927"/>
      <w:bookmarkStart w:id="19" w:name="_Toc428361007"/>
      <w:bookmarkStart w:id="20" w:name="_Toc428361249"/>
      <w:bookmarkStart w:id="21" w:name="_Toc428361420"/>
      <w:bookmarkStart w:id="22" w:name="_Toc428361537"/>
      <w:bookmarkStart w:id="23" w:name="_Toc428362645"/>
      <w:bookmarkStart w:id="24" w:name="_Toc428362748"/>
      <w:r w:rsidRPr="00DC4B7E">
        <w:t>Suggested citation</w:t>
      </w:r>
      <w:bookmarkEnd w:id="17"/>
      <w:bookmarkEnd w:id="18"/>
      <w:bookmarkEnd w:id="19"/>
      <w:bookmarkEnd w:id="20"/>
      <w:bookmarkEnd w:id="21"/>
      <w:bookmarkEnd w:id="22"/>
      <w:bookmarkEnd w:id="23"/>
      <w:bookmarkEnd w:id="24"/>
    </w:p>
    <w:p w:rsidR="0075211F" w:rsidRPr="00DC4B7E" w:rsidRDefault="0075211F" w:rsidP="0075211F">
      <w:r w:rsidRPr="00DC4B7E">
        <w:t>B. Ah Tong, G. Duff, G. Mullen and M. O’Neill, August 2015, A Snapshot of Blindness and Low Vision Services in Australia, Vision 2020 Australia, National Disability Services, Australian Blindness Forum, Sydney.</w:t>
      </w:r>
    </w:p>
    <w:p w:rsidR="000D0FA0" w:rsidRDefault="0075211F" w:rsidP="0075211F">
      <w:r>
        <w:rPr>
          <w:noProof/>
          <w:lang w:eastAsia="en-AU"/>
        </w:rPr>
        <w:drawing>
          <wp:inline distT="0" distB="0" distL="0" distR="0" wp14:anchorId="5DA586F0" wp14:editId="32369F9F">
            <wp:extent cx="1080000" cy="1393200"/>
            <wp:effectExtent l="0" t="0" r="6350" b="0"/>
            <wp:docPr id="1" name="Picture 1" descr="Logo for Cente for Applied Disability Research" title="Logo for Cente for Applied Disability Re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DR_CMYK_Centred.eps"/>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80000" cy="1393200"/>
                    </a:xfrm>
                    <a:prstGeom prst="rect">
                      <a:avLst/>
                    </a:prstGeom>
                  </pic:spPr>
                </pic:pic>
              </a:graphicData>
            </a:graphic>
          </wp:inline>
        </w:drawing>
      </w:r>
    </w:p>
    <w:p w:rsidR="0075211F" w:rsidRPr="00DC4B7E" w:rsidRDefault="0075211F" w:rsidP="0075211F">
      <w:r w:rsidRPr="00DC4B7E">
        <w:t>The Centre for Applied Disability Research exists to improve the wellbeing of people living with disability by gathering insights, building understanding and sharing knowledge. The Centre for Applied Disability Research is an initiative of National Disability Services.</w:t>
      </w:r>
    </w:p>
    <w:p w:rsidR="0075211F" w:rsidRDefault="0075211F" w:rsidP="0075211F">
      <w:r w:rsidRPr="00DC4B7E">
        <w:t>Gordon Duff – General Manager, Policy &amp; Research</w:t>
      </w:r>
      <w:r w:rsidRPr="00DC4B7E">
        <w:br/>
        <w:t>02 9256 3117</w:t>
      </w:r>
      <w:r w:rsidRPr="00DC4B7E">
        <w:br/>
      </w:r>
      <w:hyperlink r:id="rId10" w:history="1">
        <w:r w:rsidRPr="00DC4B7E">
          <w:rPr>
            <w:rStyle w:val="Hyperlink"/>
          </w:rPr>
          <w:t>gordon.duff@nds.org.au</w:t>
        </w:r>
      </w:hyperlink>
    </w:p>
    <w:p w:rsidR="000D0FA0" w:rsidRPr="00DC4B7E" w:rsidRDefault="000D0FA0" w:rsidP="0075211F"/>
    <w:p w:rsidR="000D0FA0" w:rsidRDefault="0075211F" w:rsidP="0075211F">
      <w:r>
        <w:rPr>
          <w:noProof/>
          <w:lang w:eastAsia="en-AU"/>
        </w:rPr>
        <w:drawing>
          <wp:inline distT="0" distB="0" distL="0" distR="0" wp14:anchorId="7496746B" wp14:editId="4AFD2F05">
            <wp:extent cx="1080000" cy="626400"/>
            <wp:effectExtent l="0" t="0" r="6350" b="2540"/>
            <wp:docPr id="2" name="Picture 2" descr="Logo for National Disability Services" title="Logo for National Disability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DS-CMYK.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80000" cy="626400"/>
                    </a:xfrm>
                    <a:prstGeom prst="rect">
                      <a:avLst/>
                    </a:prstGeom>
                  </pic:spPr>
                </pic:pic>
              </a:graphicData>
            </a:graphic>
          </wp:inline>
        </w:drawing>
      </w:r>
      <w:r w:rsidR="00000E4C">
        <w:t xml:space="preserve"> </w:t>
      </w:r>
    </w:p>
    <w:p w:rsidR="0075211F" w:rsidRDefault="0075211F" w:rsidP="0075211F">
      <w:r w:rsidRPr="00DC4B7E">
        <w:t>National Disability Services is the peak bod</w:t>
      </w:r>
      <w:r w:rsidR="00000E4C">
        <w:t xml:space="preserve">y for non-government disability </w:t>
      </w:r>
      <w:r w:rsidRPr="00DC4B7E">
        <w:t>services. Its purpose is to promote quality service p</w:t>
      </w:r>
      <w:r w:rsidR="00000E4C">
        <w:t xml:space="preserve">rovision and life opportunities </w:t>
      </w:r>
      <w:r w:rsidRPr="00DC4B7E">
        <w:t>for people with disability. NDS’s Australia-wide membership includes more than 1030 non-government organisations, which support people with all forms of disability. NDS provides information and networking opportunities to its members and policy advice to State, Territory and Federal governments.</w:t>
      </w:r>
      <w:r w:rsidR="000D0FA0">
        <w:br/>
      </w:r>
      <w:r w:rsidR="000D0FA0">
        <w:br/>
      </w:r>
      <w:r w:rsidRPr="00DC4B7E">
        <w:t>Ken Baker – NDS Chief Executive</w:t>
      </w:r>
      <w:r w:rsidRPr="00DC4B7E">
        <w:br/>
        <w:t>02 6283 3200</w:t>
      </w:r>
      <w:r w:rsidRPr="00DC4B7E">
        <w:br/>
      </w:r>
      <w:hyperlink r:id="rId12" w:history="1">
        <w:r w:rsidRPr="00DC4B7E">
          <w:rPr>
            <w:rStyle w:val="Hyperlink"/>
          </w:rPr>
          <w:t>ken.baker@nds.org.au</w:t>
        </w:r>
      </w:hyperlink>
    </w:p>
    <w:p w:rsidR="000D0FA0" w:rsidRDefault="0075211F" w:rsidP="0075211F">
      <w:r>
        <w:rPr>
          <w:noProof/>
          <w:lang w:eastAsia="en-AU"/>
        </w:rPr>
        <w:lastRenderedPageBreak/>
        <w:drawing>
          <wp:inline distT="0" distB="0" distL="0" distR="0" wp14:anchorId="6E01C049" wp14:editId="543A98D2">
            <wp:extent cx="1080000" cy="702000"/>
            <wp:effectExtent l="0" t="0" r="6350" b="3175"/>
            <wp:docPr id="3" name="Picture 3" descr="Logo for Vision 2020: The right to sight Australia" title="Logo for Vision 2020: The right to sight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2020aust_cmyk.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80000" cy="702000"/>
                    </a:xfrm>
                    <a:prstGeom prst="rect">
                      <a:avLst/>
                    </a:prstGeom>
                  </pic:spPr>
                </pic:pic>
              </a:graphicData>
            </a:graphic>
          </wp:inline>
        </w:drawing>
      </w:r>
      <w:r w:rsidR="00000E4C">
        <w:t xml:space="preserve"> </w:t>
      </w:r>
    </w:p>
    <w:p w:rsidR="0075211F" w:rsidRPr="00DC4B7E" w:rsidRDefault="0075211F" w:rsidP="0075211F">
      <w:r w:rsidRPr="00DC4B7E">
        <w:t>Vision 2020 Australia is the national peak body for the eye health and vision care sector, representing around 50 member organisations involved in local and global eye care; health promotion; supports and services for people who are blind or vision impaired; research; professional assistance and community support. Vision 2020 Australia is part of VISION 2020: The Right to Sight, a global initiative of the World Health Organisation and the International Agency for the Prevention of Blindness.</w:t>
      </w:r>
    </w:p>
    <w:p w:rsidR="0075211F" w:rsidRDefault="0075211F" w:rsidP="0075211F">
      <w:r w:rsidRPr="00DC4B7E">
        <w:t>Brandon Ah Tong – Director of Policy and Advocacy</w:t>
      </w:r>
      <w:r w:rsidRPr="00DC4B7E">
        <w:br/>
        <w:t>03 9656 2012</w:t>
      </w:r>
      <w:r w:rsidRPr="00DC4B7E">
        <w:br/>
      </w:r>
      <w:hyperlink r:id="rId14" w:history="1">
        <w:r w:rsidRPr="00DC4B7E">
          <w:rPr>
            <w:rStyle w:val="Hyperlink"/>
          </w:rPr>
          <w:t>BAhTong@vision2020australia.org.au</w:t>
        </w:r>
      </w:hyperlink>
    </w:p>
    <w:p w:rsidR="000D0FA0" w:rsidRPr="00DC4B7E" w:rsidRDefault="000D0FA0" w:rsidP="0075211F"/>
    <w:p w:rsidR="000D0FA0" w:rsidRDefault="0075211F" w:rsidP="0075211F">
      <w:r>
        <w:rPr>
          <w:noProof/>
          <w:lang w:eastAsia="en-AU"/>
        </w:rPr>
        <w:drawing>
          <wp:inline distT="0" distB="0" distL="0" distR="0" wp14:anchorId="67058422" wp14:editId="59AAF001">
            <wp:extent cx="1080000" cy="1335600"/>
            <wp:effectExtent l="0" t="0" r="6350" b="0"/>
            <wp:docPr id="4" name="Picture 4" descr="Logo for Australian Blindness Forum " title="Logo for Australian Blindness Foru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F_Vertical.eps"/>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080000" cy="1335600"/>
                    </a:xfrm>
                    <a:prstGeom prst="rect">
                      <a:avLst/>
                    </a:prstGeom>
                  </pic:spPr>
                </pic:pic>
              </a:graphicData>
            </a:graphic>
          </wp:inline>
        </w:drawing>
      </w:r>
      <w:r w:rsidR="00000E4C">
        <w:t xml:space="preserve"> </w:t>
      </w:r>
    </w:p>
    <w:p w:rsidR="0075211F" w:rsidRPr="00DC4B7E" w:rsidRDefault="0075211F" w:rsidP="0075211F">
      <w:r w:rsidRPr="00DC4B7E">
        <w:t>The Australian Blindness Forum (ABF) is the peak body for the blindness sector that comprises 22 major service providers for people who are blind or vision impaired across Australia. Members of the ABF are organisations whose primary objects are the provision of services to people who are blind or vision impaired; those whose activities are substantially connected with the welfare of people who are blind or vision impaired, and those whose activities are substantially related to the prevention of blindness.</w:t>
      </w:r>
    </w:p>
    <w:p w:rsidR="000D0FA0" w:rsidRDefault="0075211F" w:rsidP="0075211F">
      <w:r w:rsidRPr="00DC4B7E">
        <w:t>Jennifer Grimwade – Executive Officer/Policy Officer</w:t>
      </w:r>
      <w:r w:rsidRPr="00DC4B7E">
        <w:br/>
        <w:t>0499 018 779</w:t>
      </w:r>
      <w:r w:rsidRPr="00DC4B7E">
        <w:br/>
      </w:r>
      <w:hyperlink r:id="rId16" w:history="1">
        <w:r w:rsidR="000D0FA0" w:rsidRPr="000C7605">
          <w:rPr>
            <w:rStyle w:val="Hyperlink"/>
          </w:rPr>
          <w:t>jgrimwade@australianblindnessforum.org.au</w:t>
        </w:r>
      </w:hyperlink>
    </w:p>
    <w:p w:rsidR="000D0FA0" w:rsidRDefault="000D0FA0" w:rsidP="000D0FA0">
      <w:r>
        <w:br w:type="page"/>
      </w:r>
    </w:p>
    <w:p w:rsidR="000C3190" w:rsidRPr="000C3190" w:rsidRDefault="00F00786" w:rsidP="000C3190">
      <w:pPr>
        <w:pStyle w:val="Heading2"/>
      </w:pPr>
      <w:bookmarkStart w:id="25" w:name="_Toc428360928"/>
      <w:bookmarkStart w:id="26" w:name="_Toc428361008"/>
      <w:bookmarkStart w:id="27" w:name="_Toc428361250"/>
      <w:bookmarkStart w:id="28" w:name="_Toc428361421"/>
      <w:bookmarkStart w:id="29" w:name="_Toc428361538"/>
      <w:bookmarkStart w:id="30" w:name="_Toc428362646"/>
      <w:bookmarkStart w:id="31" w:name="_Toc428362749"/>
      <w:r>
        <w:lastRenderedPageBreak/>
        <w:t>Contents</w:t>
      </w:r>
      <w:bookmarkEnd w:id="25"/>
      <w:bookmarkEnd w:id="26"/>
      <w:bookmarkEnd w:id="27"/>
      <w:bookmarkEnd w:id="28"/>
      <w:bookmarkEnd w:id="29"/>
      <w:bookmarkEnd w:id="30"/>
      <w:bookmarkEnd w:id="31"/>
      <w:r w:rsidR="00D520F1">
        <w:fldChar w:fldCharType="begin"/>
      </w:r>
      <w:r w:rsidR="00D520F1">
        <w:instrText xml:space="preserve"> TOC \o "1-4" \h \z \u </w:instrText>
      </w:r>
      <w:r w:rsidR="00D520F1">
        <w:fldChar w:fldCharType="separate"/>
      </w:r>
    </w:p>
    <w:p w:rsidR="000C3190" w:rsidRDefault="0092493E">
      <w:pPr>
        <w:pStyle w:val="TOC2"/>
        <w:tabs>
          <w:tab w:val="right" w:leader="dot" w:pos="10194"/>
        </w:tabs>
        <w:rPr>
          <w:rFonts w:asciiTheme="minorHAnsi" w:hAnsiTheme="minorHAnsi"/>
          <w:noProof/>
          <w:sz w:val="22"/>
          <w:lang w:eastAsia="en-AU"/>
        </w:rPr>
      </w:pPr>
      <w:hyperlink w:anchor="_Toc428362750" w:history="1">
        <w:r w:rsidR="000C3190" w:rsidRPr="00C20BB8">
          <w:rPr>
            <w:rStyle w:val="Hyperlink"/>
            <w:noProof/>
          </w:rPr>
          <w:t>Executive summary</w:t>
        </w:r>
        <w:r w:rsidR="000C3190">
          <w:rPr>
            <w:noProof/>
            <w:webHidden/>
          </w:rPr>
          <w:tab/>
        </w:r>
        <w:r w:rsidR="000C3190">
          <w:rPr>
            <w:noProof/>
            <w:webHidden/>
          </w:rPr>
          <w:fldChar w:fldCharType="begin"/>
        </w:r>
        <w:r w:rsidR="000C3190">
          <w:rPr>
            <w:noProof/>
            <w:webHidden/>
          </w:rPr>
          <w:instrText xml:space="preserve"> PAGEREF _Toc428362750 \h </w:instrText>
        </w:r>
        <w:r w:rsidR="000C3190">
          <w:rPr>
            <w:noProof/>
            <w:webHidden/>
          </w:rPr>
        </w:r>
        <w:r w:rsidR="000C3190">
          <w:rPr>
            <w:noProof/>
            <w:webHidden/>
          </w:rPr>
          <w:fldChar w:fldCharType="separate"/>
        </w:r>
        <w:r w:rsidR="008D40E2">
          <w:rPr>
            <w:noProof/>
            <w:webHidden/>
          </w:rPr>
          <w:t>4</w:t>
        </w:r>
        <w:r w:rsidR="000C3190">
          <w:rPr>
            <w:noProof/>
            <w:webHidden/>
          </w:rPr>
          <w:fldChar w:fldCharType="end"/>
        </w:r>
      </w:hyperlink>
    </w:p>
    <w:p w:rsidR="000C3190" w:rsidRDefault="0092493E">
      <w:pPr>
        <w:pStyle w:val="TOC2"/>
        <w:tabs>
          <w:tab w:val="right" w:leader="dot" w:pos="10194"/>
        </w:tabs>
        <w:rPr>
          <w:rFonts w:asciiTheme="minorHAnsi" w:hAnsiTheme="minorHAnsi"/>
          <w:noProof/>
          <w:sz w:val="22"/>
          <w:lang w:eastAsia="en-AU"/>
        </w:rPr>
      </w:pPr>
      <w:hyperlink w:anchor="_Toc428362751" w:history="1">
        <w:r w:rsidR="000C3190" w:rsidRPr="00C20BB8">
          <w:rPr>
            <w:rStyle w:val="Hyperlink"/>
            <w:noProof/>
          </w:rPr>
          <w:t>Recommendations</w:t>
        </w:r>
        <w:r w:rsidR="000C3190">
          <w:rPr>
            <w:noProof/>
            <w:webHidden/>
          </w:rPr>
          <w:tab/>
        </w:r>
        <w:r w:rsidR="000C3190">
          <w:rPr>
            <w:noProof/>
            <w:webHidden/>
          </w:rPr>
          <w:fldChar w:fldCharType="begin"/>
        </w:r>
        <w:r w:rsidR="000C3190">
          <w:rPr>
            <w:noProof/>
            <w:webHidden/>
          </w:rPr>
          <w:instrText xml:space="preserve"> PAGEREF _Toc428362751 \h </w:instrText>
        </w:r>
        <w:r w:rsidR="000C3190">
          <w:rPr>
            <w:noProof/>
            <w:webHidden/>
          </w:rPr>
        </w:r>
        <w:r w:rsidR="000C3190">
          <w:rPr>
            <w:noProof/>
            <w:webHidden/>
          </w:rPr>
          <w:fldChar w:fldCharType="separate"/>
        </w:r>
        <w:r w:rsidR="008D40E2">
          <w:rPr>
            <w:noProof/>
            <w:webHidden/>
          </w:rPr>
          <w:t>5</w:t>
        </w:r>
        <w:r w:rsidR="000C3190">
          <w:rPr>
            <w:noProof/>
            <w:webHidden/>
          </w:rPr>
          <w:fldChar w:fldCharType="end"/>
        </w:r>
      </w:hyperlink>
    </w:p>
    <w:p w:rsidR="000C3190" w:rsidRDefault="0092493E">
      <w:pPr>
        <w:pStyle w:val="TOC2"/>
        <w:tabs>
          <w:tab w:val="right" w:leader="dot" w:pos="10194"/>
        </w:tabs>
        <w:rPr>
          <w:rFonts w:asciiTheme="minorHAnsi" w:hAnsiTheme="minorHAnsi"/>
          <w:noProof/>
          <w:sz w:val="22"/>
          <w:lang w:eastAsia="en-AU"/>
        </w:rPr>
      </w:pPr>
      <w:hyperlink w:anchor="_Toc428362752" w:history="1">
        <w:r w:rsidR="000C3190" w:rsidRPr="00C20BB8">
          <w:rPr>
            <w:rStyle w:val="Hyperlink"/>
            <w:noProof/>
          </w:rPr>
          <w:t>Overview</w:t>
        </w:r>
        <w:r w:rsidR="000C3190">
          <w:rPr>
            <w:noProof/>
            <w:webHidden/>
          </w:rPr>
          <w:tab/>
        </w:r>
        <w:r w:rsidR="000C3190">
          <w:rPr>
            <w:noProof/>
            <w:webHidden/>
          </w:rPr>
          <w:fldChar w:fldCharType="begin"/>
        </w:r>
        <w:r w:rsidR="000C3190">
          <w:rPr>
            <w:noProof/>
            <w:webHidden/>
          </w:rPr>
          <w:instrText xml:space="preserve"> PAGEREF _Toc428362752 \h </w:instrText>
        </w:r>
        <w:r w:rsidR="000C3190">
          <w:rPr>
            <w:noProof/>
            <w:webHidden/>
          </w:rPr>
        </w:r>
        <w:r w:rsidR="000C3190">
          <w:rPr>
            <w:noProof/>
            <w:webHidden/>
          </w:rPr>
          <w:fldChar w:fldCharType="separate"/>
        </w:r>
        <w:r w:rsidR="008D40E2">
          <w:rPr>
            <w:noProof/>
            <w:webHidden/>
          </w:rPr>
          <w:t>5</w:t>
        </w:r>
        <w:r w:rsidR="000C3190">
          <w:rPr>
            <w:noProof/>
            <w:webHidden/>
          </w:rPr>
          <w:fldChar w:fldCharType="end"/>
        </w:r>
      </w:hyperlink>
    </w:p>
    <w:p w:rsidR="000C3190" w:rsidRDefault="0092493E">
      <w:pPr>
        <w:pStyle w:val="TOC2"/>
        <w:tabs>
          <w:tab w:val="right" w:leader="dot" w:pos="10194"/>
        </w:tabs>
        <w:rPr>
          <w:rFonts w:asciiTheme="minorHAnsi" w:hAnsiTheme="minorHAnsi"/>
          <w:noProof/>
          <w:sz w:val="22"/>
          <w:lang w:eastAsia="en-AU"/>
        </w:rPr>
      </w:pPr>
      <w:hyperlink w:anchor="_Toc428362753" w:history="1">
        <w:r w:rsidR="000C3190" w:rsidRPr="00C20BB8">
          <w:rPr>
            <w:rStyle w:val="Hyperlink"/>
            <w:noProof/>
          </w:rPr>
          <w:t>Methods</w:t>
        </w:r>
        <w:r w:rsidR="000C3190">
          <w:rPr>
            <w:noProof/>
            <w:webHidden/>
          </w:rPr>
          <w:tab/>
        </w:r>
        <w:r w:rsidR="000C3190">
          <w:rPr>
            <w:noProof/>
            <w:webHidden/>
          </w:rPr>
          <w:fldChar w:fldCharType="begin"/>
        </w:r>
        <w:r w:rsidR="000C3190">
          <w:rPr>
            <w:noProof/>
            <w:webHidden/>
          </w:rPr>
          <w:instrText xml:space="preserve"> PAGEREF _Toc428362753 \h </w:instrText>
        </w:r>
        <w:r w:rsidR="000C3190">
          <w:rPr>
            <w:noProof/>
            <w:webHidden/>
          </w:rPr>
        </w:r>
        <w:r w:rsidR="000C3190">
          <w:rPr>
            <w:noProof/>
            <w:webHidden/>
          </w:rPr>
          <w:fldChar w:fldCharType="separate"/>
        </w:r>
        <w:r w:rsidR="008D40E2">
          <w:rPr>
            <w:noProof/>
            <w:webHidden/>
          </w:rPr>
          <w:t>7</w:t>
        </w:r>
        <w:r w:rsidR="000C3190">
          <w:rPr>
            <w:noProof/>
            <w:webHidden/>
          </w:rPr>
          <w:fldChar w:fldCharType="end"/>
        </w:r>
      </w:hyperlink>
    </w:p>
    <w:p w:rsidR="000C3190" w:rsidRDefault="0092493E">
      <w:pPr>
        <w:pStyle w:val="TOC2"/>
        <w:tabs>
          <w:tab w:val="right" w:leader="dot" w:pos="10194"/>
        </w:tabs>
        <w:rPr>
          <w:rFonts w:asciiTheme="minorHAnsi" w:hAnsiTheme="minorHAnsi"/>
          <w:noProof/>
          <w:sz w:val="22"/>
          <w:lang w:eastAsia="en-AU"/>
        </w:rPr>
      </w:pPr>
      <w:hyperlink w:anchor="_Toc428362754" w:history="1">
        <w:r w:rsidR="000C3190" w:rsidRPr="00C20BB8">
          <w:rPr>
            <w:rStyle w:val="Hyperlink"/>
            <w:noProof/>
          </w:rPr>
          <w:t>Results</w:t>
        </w:r>
        <w:r w:rsidR="000C3190">
          <w:rPr>
            <w:noProof/>
            <w:webHidden/>
          </w:rPr>
          <w:tab/>
        </w:r>
        <w:r w:rsidR="000C3190">
          <w:rPr>
            <w:noProof/>
            <w:webHidden/>
          </w:rPr>
          <w:fldChar w:fldCharType="begin"/>
        </w:r>
        <w:r w:rsidR="000C3190">
          <w:rPr>
            <w:noProof/>
            <w:webHidden/>
          </w:rPr>
          <w:instrText xml:space="preserve"> PAGEREF _Toc428362754 \h </w:instrText>
        </w:r>
        <w:r w:rsidR="000C3190">
          <w:rPr>
            <w:noProof/>
            <w:webHidden/>
          </w:rPr>
        </w:r>
        <w:r w:rsidR="000C3190">
          <w:rPr>
            <w:noProof/>
            <w:webHidden/>
          </w:rPr>
          <w:fldChar w:fldCharType="separate"/>
        </w:r>
        <w:r w:rsidR="008D40E2">
          <w:rPr>
            <w:noProof/>
            <w:webHidden/>
          </w:rPr>
          <w:t>8</w:t>
        </w:r>
        <w:r w:rsidR="000C3190">
          <w:rPr>
            <w:noProof/>
            <w:webHidden/>
          </w:rPr>
          <w:fldChar w:fldCharType="end"/>
        </w:r>
      </w:hyperlink>
    </w:p>
    <w:p w:rsidR="000C3190" w:rsidRDefault="0092493E">
      <w:pPr>
        <w:pStyle w:val="TOC3"/>
        <w:tabs>
          <w:tab w:val="right" w:leader="dot" w:pos="10194"/>
        </w:tabs>
        <w:rPr>
          <w:rFonts w:asciiTheme="minorHAnsi" w:hAnsiTheme="minorHAnsi"/>
          <w:noProof/>
          <w:sz w:val="22"/>
          <w:lang w:eastAsia="en-AU"/>
        </w:rPr>
      </w:pPr>
      <w:hyperlink w:anchor="_Toc428362755" w:history="1">
        <w:r w:rsidR="000C3190" w:rsidRPr="00C20BB8">
          <w:rPr>
            <w:rStyle w:val="Hyperlink"/>
            <w:noProof/>
          </w:rPr>
          <w:t>Organisational respondent profile</w:t>
        </w:r>
        <w:r w:rsidR="000C3190">
          <w:rPr>
            <w:noProof/>
            <w:webHidden/>
          </w:rPr>
          <w:tab/>
        </w:r>
        <w:r w:rsidR="000C3190">
          <w:rPr>
            <w:noProof/>
            <w:webHidden/>
          </w:rPr>
          <w:fldChar w:fldCharType="begin"/>
        </w:r>
        <w:r w:rsidR="000C3190">
          <w:rPr>
            <w:noProof/>
            <w:webHidden/>
          </w:rPr>
          <w:instrText xml:space="preserve"> PAGEREF _Toc428362755 \h </w:instrText>
        </w:r>
        <w:r w:rsidR="000C3190">
          <w:rPr>
            <w:noProof/>
            <w:webHidden/>
          </w:rPr>
        </w:r>
        <w:r w:rsidR="000C3190">
          <w:rPr>
            <w:noProof/>
            <w:webHidden/>
          </w:rPr>
          <w:fldChar w:fldCharType="separate"/>
        </w:r>
        <w:r w:rsidR="008D40E2">
          <w:rPr>
            <w:noProof/>
            <w:webHidden/>
          </w:rPr>
          <w:t>8</w:t>
        </w:r>
        <w:r w:rsidR="000C3190">
          <w:rPr>
            <w:noProof/>
            <w:webHidden/>
          </w:rPr>
          <w:fldChar w:fldCharType="end"/>
        </w:r>
      </w:hyperlink>
    </w:p>
    <w:p w:rsidR="000C3190" w:rsidRDefault="0092493E">
      <w:pPr>
        <w:pStyle w:val="TOC3"/>
        <w:tabs>
          <w:tab w:val="right" w:leader="dot" w:pos="10194"/>
        </w:tabs>
        <w:rPr>
          <w:rFonts w:asciiTheme="minorHAnsi" w:hAnsiTheme="minorHAnsi"/>
          <w:noProof/>
          <w:sz w:val="22"/>
          <w:lang w:eastAsia="en-AU"/>
        </w:rPr>
      </w:pPr>
      <w:hyperlink w:anchor="_Toc428362756" w:history="1">
        <w:r w:rsidR="000C3190" w:rsidRPr="00C20BB8">
          <w:rPr>
            <w:rStyle w:val="Hyperlink"/>
            <w:noProof/>
          </w:rPr>
          <w:t>The majority (60 per cent) of blindness and low vision clients are aged 65 years or older</w:t>
        </w:r>
        <w:r w:rsidR="000C3190">
          <w:rPr>
            <w:noProof/>
            <w:webHidden/>
          </w:rPr>
          <w:tab/>
        </w:r>
        <w:r w:rsidR="000C3190">
          <w:rPr>
            <w:noProof/>
            <w:webHidden/>
          </w:rPr>
          <w:fldChar w:fldCharType="begin"/>
        </w:r>
        <w:r w:rsidR="000C3190">
          <w:rPr>
            <w:noProof/>
            <w:webHidden/>
          </w:rPr>
          <w:instrText xml:space="preserve"> PAGEREF _Toc428362756 \h </w:instrText>
        </w:r>
        <w:r w:rsidR="000C3190">
          <w:rPr>
            <w:noProof/>
            <w:webHidden/>
          </w:rPr>
        </w:r>
        <w:r w:rsidR="000C3190">
          <w:rPr>
            <w:noProof/>
            <w:webHidden/>
          </w:rPr>
          <w:fldChar w:fldCharType="separate"/>
        </w:r>
        <w:r w:rsidR="008D40E2">
          <w:rPr>
            <w:noProof/>
            <w:webHidden/>
          </w:rPr>
          <w:t>9</w:t>
        </w:r>
        <w:r w:rsidR="000C3190">
          <w:rPr>
            <w:noProof/>
            <w:webHidden/>
          </w:rPr>
          <w:fldChar w:fldCharType="end"/>
        </w:r>
      </w:hyperlink>
    </w:p>
    <w:p w:rsidR="000C3190" w:rsidRDefault="0092493E">
      <w:pPr>
        <w:pStyle w:val="TOC3"/>
        <w:tabs>
          <w:tab w:val="right" w:leader="dot" w:pos="10194"/>
        </w:tabs>
        <w:rPr>
          <w:rFonts w:asciiTheme="minorHAnsi" w:hAnsiTheme="minorHAnsi"/>
          <w:noProof/>
          <w:sz w:val="22"/>
          <w:lang w:eastAsia="en-AU"/>
        </w:rPr>
      </w:pPr>
      <w:hyperlink w:anchor="_Toc428362757" w:history="1">
        <w:r w:rsidR="000C3190" w:rsidRPr="00C20BB8">
          <w:rPr>
            <w:rStyle w:val="Hyperlink"/>
            <w:noProof/>
          </w:rPr>
          <w:t>Nearly 100,000 unique clients accessed blindness or low vision services in 2013</w:t>
        </w:r>
        <w:r w:rsidR="000C3190">
          <w:rPr>
            <w:noProof/>
            <w:webHidden/>
          </w:rPr>
          <w:tab/>
        </w:r>
        <w:r w:rsidR="000C3190">
          <w:rPr>
            <w:noProof/>
            <w:webHidden/>
          </w:rPr>
          <w:fldChar w:fldCharType="begin"/>
        </w:r>
        <w:r w:rsidR="000C3190">
          <w:rPr>
            <w:noProof/>
            <w:webHidden/>
          </w:rPr>
          <w:instrText xml:space="preserve"> PAGEREF _Toc428362757 \h </w:instrText>
        </w:r>
        <w:r w:rsidR="000C3190">
          <w:rPr>
            <w:noProof/>
            <w:webHidden/>
          </w:rPr>
        </w:r>
        <w:r w:rsidR="000C3190">
          <w:rPr>
            <w:noProof/>
            <w:webHidden/>
          </w:rPr>
          <w:fldChar w:fldCharType="separate"/>
        </w:r>
        <w:r w:rsidR="008D40E2">
          <w:rPr>
            <w:noProof/>
            <w:webHidden/>
          </w:rPr>
          <w:t>10</w:t>
        </w:r>
        <w:r w:rsidR="000C3190">
          <w:rPr>
            <w:noProof/>
            <w:webHidden/>
          </w:rPr>
          <w:fldChar w:fldCharType="end"/>
        </w:r>
      </w:hyperlink>
    </w:p>
    <w:p w:rsidR="000C3190" w:rsidRDefault="0092493E">
      <w:pPr>
        <w:pStyle w:val="TOC3"/>
        <w:tabs>
          <w:tab w:val="right" w:leader="dot" w:pos="10194"/>
        </w:tabs>
        <w:rPr>
          <w:rFonts w:asciiTheme="minorHAnsi" w:hAnsiTheme="minorHAnsi"/>
          <w:noProof/>
          <w:sz w:val="22"/>
          <w:lang w:eastAsia="en-AU"/>
        </w:rPr>
      </w:pPr>
      <w:hyperlink w:anchor="_Toc428362758" w:history="1">
        <w:r w:rsidR="000C3190" w:rsidRPr="00C20BB8">
          <w:rPr>
            <w:rStyle w:val="Hyperlink"/>
            <w:noProof/>
          </w:rPr>
          <w:t>Numbers of clients and service hours</w:t>
        </w:r>
        <w:r w:rsidR="000C3190">
          <w:rPr>
            <w:noProof/>
            <w:webHidden/>
          </w:rPr>
          <w:tab/>
        </w:r>
        <w:r w:rsidR="000C3190">
          <w:rPr>
            <w:noProof/>
            <w:webHidden/>
          </w:rPr>
          <w:fldChar w:fldCharType="begin"/>
        </w:r>
        <w:r w:rsidR="000C3190">
          <w:rPr>
            <w:noProof/>
            <w:webHidden/>
          </w:rPr>
          <w:instrText xml:space="preserve"> PAGEREF _Toc428362758 \h </w:instrText>
        </w:r>
        <w:r w:rsidR="000C3190">
          <w:rPr>
            <w:noProof/>
            <w:webHidden/>
          </w:rPr>
        </w:r>
        <w:r w:rsidR="000C3190">
          <w:rPr>
            <w:noProof/>
            <w:webHidden/>
          </w:rPr>
          <w:fldChar w:fldCharType="separate"/>
        </w:r>
        <w:r w:rsidR="008D40E2">
          <w:rPr>
            <w:noProof/>
            <w:webHidden/>
          </w:rPr>
          <w:t>10</w:t>
        </w:r>
        <w:r w:rsidR="000C3190">
          <w:rPr>
            <w:noProof/>
            <w:webHidden/>
          </w:rPr>
          <w:fldChar w:fldCharType="end"/>
        </w:r>
      </w:hyperlink>
    </w:p>
    <w:p w:rsidR="000C3190" w:rsidRDefault="0092493E">
      <w:pPr>
        <w:pStyle w:val="TOC3"/>
        <w:tabs>
          <w:tab w:val="right" w:leader="dot" w:pos="10194"/>
        </w:tabs>
        <w:rPr>
          <w:rFonts w:asciiTheme="minorHAnsi" w:hAnsiTheme="minorHAnsi"/>
          <w:noProof/>
          <w:sz w:val="22"/>
          <w:lang w:eastAsia="en-AU"/>
        </w:rPr>
      </w:pPr>
      <w:hyperlink w:anchor="_Toc428362759" w:history="1">
        <w:r w:rsidR="000C3190" w:rsidRPr="00C20BB8">
          <w:rPr>
            <w:rStyle w:val="Hyperlink"/>
            <w:noProof/>
          </w:rPr>
          <w:t>A diverse and highly skilled workforce</w:t>
        </w:r>
        <w:r w:rsidR="000C3190">
          <w:rPr>
            <w:noProof/>
            <w:webHidden/>
          </w:rPr>
          <w:tab/>
        </w:r>
        <w:r w:rsidR="000C3190">
          <w:rPr>
            <w:noProof/>
            <w:webHidden/>
          </w:rPr>
          <w:fldChar w:fldCharType="begin"/>
        </w:r>
        <w:r w:rsidR="000C3190">
          <w:rPr>
            <w:noProof/>
            <w:webHidden/>
          </w:rPr>
          <w:instrText xml:space="preserve"> PAGEREF _Toc428362759 \h </w:instrText>
        </w:r>
        <w:r w:rsidR="000C3190">
          <w:rPr>
            <w:noProof/>
            <w:webHidden/>
          </w:rPr>
        </w:r>
        <w:r w:rsidR="000C3190">
          <w:rPr>
            <w:noProof/>
            <w:webHidden/>
          </w:rPr>
          <w:fldChar w:fldCharType="separate"/>
        </w:r>
        <w:r w:rsidR="008D40E2">
          <w:rPr>
            <w:noProof/>
            <w:webHidden/>
          </w:rPr>
          <w:t>10</w:t>
        </w:r>
        <w:r w:rsidR="000C3190">
          <w:rPr>
            <w:noProof/>
            <w:webHidden/>
          </w:rPr>
          <w:fldChar w:fldCharType="end"/>
        </w:r>
      </w:hyperlink>
    </w:p>
    <w:p w:rsidR="000C3190" w:rsidRDefault="0092493E">
      <w:pPr>
        <w:pStyle w:val="TOC3"/>
        <w:tabs>
          <w:tab w:val="right" w:leader="dot" w:pos="10194"/>
        </w:tabs>
        <w:rPr>
          <w:rFonts w:asciiTheme="minorHAnsi" w:hAnsiTheme="minorHAnsi"/>
          <w:noProof/>
          <w:sz w:val="22"/>
          <w:lang w:eastAsia="en-AU"/>
        </w:rPr>
      </w:pPr>
      <w:hyperlink w:anchor="_Toc428362760" w:history="1">
        <w:r w:rsidR="000C3190" w:rsidRPr="00C20BB8">
          <w:rPr>
            <w:rStyle w:val="Hyperlink"/>
            <w:noProof/>
          </w:rPr>
          <w:t>Volunteering contributed approx. $30m in 2013</w:t>
        </w:r>
        <w:r w:rsidR="000C3190">
          <w:rPr>
            <w:noProof/>
            <w:webHidden/>
          </w:rPr>
          <w:tab/>
        </w:r>
        <w:r w:rsidR="000C3190">
          <w:rPr>
            <w:noProof/>
            <w:webHidden/>
          </w:rPr>
          <w:fldChar w:fldCharType="begin"/>
        </w:r>
        <w:r w:rsidR="000C3190">
          <w:rPr>
            <w:noProof/>
            <w:webHidden/>
          </w:rPr>
          <w:instrText xml:space="preserve"> PAGEREF _Toc428362760 \h </w:instrText>
        </w:r>
        <w:r w:rsidR="000C3190">
          <w:rPr>
            <w:noProof/>
            <w:webHidden/>
          </w:rPr>
        </w:r>
        <w:r w:rsidR="000C3190">
          <w:rPr>
            <w:noProof/>
            <w:webHidden/>
          </w:rPr>
          <w:fldChar w:fldCharType="separate"/>
        </w:r>
        <w:r w:rsidR="008D40E2">
          <w:rPr>
            <w:noProof/>
            <w:webHidden/>
          </w:rPr>
          <w:t>12</w:t>
        </w:r>
        <w:r w:rsidR="000C3190">
          <w:rPr>
            <w:noProof/>
            <w:webHidden/>
          </w:rPr>
          <w:fldChar w:fldCharType="end"/>
        </w:r>
      </w:hyperlink>
    </w:p>
    <w:p w:rsidR="000C3190" w:rsidRDefault="0092493E">
      <w:pPr>
        <w:pStyle w:val="TOC3"/>
        <w:tabs>
          <w:tab w:val="right" w:leader="dot" w:pos="10194"/>
        </w:tabs>
        <w:rPr>
          <w:rFonts w:asciiTheme="minorHAnsi" w:hAnsiTheme="minorHAnsi"/>
          <w:noProof/>
          <w:sz w:val="22"/>
          <w:lang w:eastAsia="en-AU"/>
        </w:rPr>
      </w:pPr>
      <w:hyperlink w:anchor="_Toc428362761" w:history="1">
        <w:r w:rsidR="000C3190" w:rsidRPr="00C20BB8">
          <w:rPr>
            <w:rStyle w:val="Hyperlink"/>
            <w:noProof/>
          </w:rPr>
          <w:t>A diverse and comprehensive sector</w:t>
        </w:r>
        <w:r w:rsidR="000C3190">
          <w:rPr>
            <w:noProof/>
            <w:webHidden/>
          </w:rPr>
          <w:tab/>
        </w:r>
        <w:r w:rsidR="000C3190">
          <w:rPr>
            <w:noProof/>
            <w:webHidden/>
          </w:rPr>
          <w:fldChar w:fldCharType="begin"/>
        </w:r>
        <w:r w:rsidR="000C3190">
          <w:rPr>
            <w:noProof/>
            <w:webHidden/>
          </w:rPr>
          <w:instrText xml:space="preserve"> PAGEREF _Toc428362761 \h </w:instrText>
        </w:r>
        <w:r w:rsidR="000C3190">
          <w:rPr>
            <w:noProof/>
            <w:webHidden/>
          </w:rPr>
        </w:r>
        <w:r w:rsidR="000C3190">
          <w:rPr>
            <w:noProof/>
            <w:webHidden/>
          </w:rPr>
          <w:fldChar w:fldCharType="separate"/>
        </w:r>
        <w:r w:rsidR="008D40E2">
          <w:rPr>
            <w:noProof/>
            <w:webHidden/>
          </w:rPr>
          <w:t>13</w:t>
        </w:r>
        <w:r w:rsidR="000C3190">
          <w:rPr>
            <w:noProof/>
            <w:webHidden/>
          </w:rPr>
          <w:fldChar w:fldCharType="end"/>
        </w:r>
      </w:hyperlink>
    </w:p>
    <w:p w:rsidR="000C3190" w:rsidRDefault="0092493E">
      <w:pPr>
        <w:pStyle w:val="TOC3"/>
        <w:tabs>
          <w:tab w:val="right" w:leader="dot" w:pos="10194"/>
        </w:tabs>
        <w:rPr>
          <w:rFonts w:asciiTheme="minorHAnsi" w:hAnsiTheme="minorHAnsi"/>
          <w:noProof/>
          <w:sz w:val="22"/>
          <w:lang w:eastAsia="en-AU"/>
        </w:rPr>
      </w:pPr>
      <w:hyperlink w:anchor="_Toc428362762" w:history="1">
        <w:r w:rsidR="000C3190" w:rsidRPr="00C20BB8">
          <w:rPr>
            <w:rStyle w:val="Hyperlink"/>
            <w:noProof/>
          </w:rPr>
          <w:t>Demand pressures and the most utilised services</w:t>
        </w:r>
        <w:r w:rsidR="000C3190">
          <w:rPr>
            <w:noProof/>
            <w:webHidden/>
          </w:rPr>
          <w:tab/>
        </w:r>
        <w:r w:rsidR="000C3190">
          <w:rPr>
            <w:noProof/>
            <w:webHidden/>
          </w:rPr>
          <w:fldChar w:fldCharType="begin"/>
        </w:r>
        <w:r w:rsidR="000C3190">
          <w:rPr>
            <w:noProof/>
            <w:webHidden/>
          </w:rPr>
          <w:instrText xml:space="preserve"> PAGEREF _Toc428362762 \h </w:instrText>
        </w:r>
        <w:r w:rsidR="000C3190">
          <w:rPr>
            <w:noProof/>
            <w:webHidden/>
          </w:rPr>
        </w:r>
        <w:r w:rsidR="000C3190">
          <w:rPr>
            <w:noProof/>
            <w:webHidden/>
          </w:rPr>
          <w:fldChar w:fldCharType="separate"/>
        </w:r>
        <w:r w:rsidR="008D40E2">
          <w:rPr>
            <w:noProof/>
            <w:webHidden/>
          </w:rPr>
          <w:t>14</w:t>
        </w:r>
        <w:r w:rsidR="000C3190">
          <w:rPr>
            <w:noProof/>
            <w:webHidden/>
          </w:rPr>
          <w:fldChar w:fldCharType="end"/>
        </w:r>
      </w:hyperlink>
    </w:p>
    <w:p w:rsidR="000C3190" w:rsidRDefault="0092493E">
      <w:pPr>
        <w:pStyle w:val="TOC4"/>
        <w:tabs>
          <w:tab w:val="right" w:leader="dot" w:pos="10194"/>
        </w:tabs>
        <w:rPr>
          <w:rFonts w:asciiTheme="minorHAnsi" w:hAnsiTheme="minorHAnsi"/>
          <w:noProof/>
          <w:sz w:val="22"/>
          <w:lang w:eastAsia="en-AU"/>
        </w:rPr>
      </w:pPr>
      <w:hyperlink w:anchor="_Toc428362763" w:history="1">
        <w:r w:rsidR="000C3190" w:rsidRPr="00C20BB8">
          <w:rPr>
            <w:rStyle w:val="Hyperlink"/>
            <w:noProof/>
          </w:rPr>
          <w:t>Current expected wait time for services</w:t>
        </w:r>
        <w:r w:rsidR="000C3190">
          <w:rPr>
            <w:noProof/>
            <w:webHidden/>
          </w:rPr>
          <w:tab/>
        </w:r>
        <w:r w:rsidR="000C3190">
          <w:rPr>
            <w:noProof/>
            <w:webHidden/>
          </w:rPr>
          <w:fldChar w:fldCharType="begin"/>
        </w:r>
        <w:r w:rsidR="000C3190">
          <w:rPr>
            <w:noProof/>
            <w:webHidden/>
          </w:rPr>
          <w:instrText xml:space="preserve"> PAGEREF _Toc428362763 \h </w:instrText>
        </w:r>
        <w:r w:rsidR="000C3190">
          <w:rPr>
            <w:noProof/>
            <w:webHidden/>
          </w:rPr>
        </w:r>
        <w:r w:rsidR="000C3190">
          <w:rPr>
            <w:noProof/>
            <w:webHidden/>
          </w:rPr>
          <w:fldChar w:fldCharType="separate"/>
        </w:r>
        <w:r w:rsidR="008D40E2">
          <w:rPr>
            <w:noProof/>
            <w:webHidden/>
          </w:rPr>
          <w:t>15</w:t>
        </w:r>
        <w:r w:rsidR="000C3190">
          <w:rPr>
            <w:noProof/>
            <w:webHidden/>
          </w:rPr>
          <w:fldChar w:fldCharType="end"/>
        </w:r>
      </w:hyperlink>
    </w:p>
    <w:p w:rsidR="000C3190" w:rsidRDefault="0092493E">
      <w:pPr>
        <w:pStyle w:val="TOC4"/>
        <w:tabs>
          <w:tab w:val="right" w:leader="dot" w:pos="10194"/>
        </w:tabs>
        <w:rPr>
          <w:rFonts w:asciiTheme="minorHAnsi" w:hAnsiTheme="minorHAnsi"/>
          <w:noProof/>
          <w:sz w:val="22"/>
          <w:lang w:eastAsia="en-AU"/>
        </w:rPr>
      </w:pPr>
      <w:hyperlink w:anchor="_Toc428362764" w:history="1">
        <w:r w:rsidR="000C3190" w:rsidRPr="00C20BB8">
          <w:rPr>
            <w:rStyle w:val="Hyperlink"/>
            <w:noProof/>
          </w:rPr>
          <w:t>How demand has changed over the past year</w:t>
        </w:r>
        <w:r w:rsidR="000C3190">
          <w:rPr>
            <w:noProof/>
            <w:webHidden/>
          </w:rPr>
          <w:tab/>
        </w:r>
        <w:r w:rsidR="000C3190">
          <w:rPr>
            <w:noProof/>
            <w:webHidden/>
          </w:rPr>
          <w:fldChar w:fldCharType="begin"/>
        </w:r>
        <w:r w:rsidR="000C3190">
          <w:rPr>
            <w:noProof/>
            <w:webHidden/>
          </w:rPr>
          <w:instrText xml:space="preserve"> PAGEREF _Toc428362764 \h </w:instrText>
        </w:r>
        <w:r w:rsidR="000C3190">
          <w:rPr>
            <w:noProof/>
            <w:webHidden/>
          </w:rPr>
        </w:r>
        <w:r w:rsidR="000C3190">
          <w:rPr>
            <w:noProof/>
            <w:webHidden/>
          </w:rPr>
          <w:fldChar w:fldCharType="separate"/>
        </w:r>
        <w:r w:rsidR="008D40E2">
          <w:rPr>
            <w:noProof/>
            <w:webHidden/>
          </w:rPr>
          <w:t>15</w:t>
        </w:r>
        <w:r w:rsidR="000C3190">
          <w:rPr>
            <w:noProof/>
            <w:webHidden/>
          </w:rPr>
          <w:fldChar w:fldCharType="end"/>
        </w:r>
      </w:hyperlink>
    </w:p>
    <w:p w:rsidR="000C3190" w:rsidRDefault="0092493E">
      <w:pPr>
        <w:pStyle w:val="TOC3"/>
        <w:tabs>
          <w:tab w:val="right" w:leader="dot" w:pos="10194"/>
        </w:tabs>
        <w:rPr>
          <w:rFonts w:asciiTheme="minorHAnsi" w:hAnsiTheme="minorHAnsi"/>
          <w:noProof/>
          <w:sz w:val="22"/>
          <w:lang w:eastAsia="en-AU"/>
        </w:rPr>
      </w:pPr>
      <w:hyperlink w:anchor="_Toc428362765" w:history="1">
        <w:r w:rsidR="000C3190" w:rsidRPr="00C20BB8">
          <w:rPr>
            <w:rStyle w:val="Hyperlink"/>
            <w:noProof/>
          </w:rPr>
          <w:t>Demand and supply in the sector</w:t>
        </w:r>
        <w:r w:rsidR="000C3190">
          <w:rPr>
            <w:noProof/>
            <w:webHidden/>
          </w:rPr>
          <w:tab/>
        </w:r>
        <w:r w:rsidR="000C3190">
          <w:rPr>
            <w:noProof/>
            <w:webHidden/>
          </w:rPr>
          <w:fldChar w:fldCharType="begin"/>
        </w:r>
        <w:r w:rsidR="000C3190">
          <w:rPr>
            <w:noProof/>
            <w:webHidden/>
          </w:rPr>
          <w:instrText xml:space="preserve"> PAGEREF _Toc428362765 \h </w:instrText>
        </w:r>
        <w:r w:rsidR="000C3190">
          <w:rPr>
            <w:noProof/>
            <w:webHidden/>
          </w:rPr>
        </w:r>
        <w:r w:rsidR="000C3190">
          <w:rPr>
            <w:noProof/>
            <w:webHidden/>
          </w:rPr>
          <w:fldChar w:fldCharType="separate"/>
        </w:r>
        <w:r w:rsidR="008D40E2">
          <w:rPr>
            <w:noProof/>
            <w:webHidden/>
          </w:rPr>
          <w:t>16</w:t>
        </w:r>
        <w:r w:rsidR="000C3190">
          <w:rPr>
            <w:noProof/>
            <w:webHidden/>
          </w:rPr>
          <w:fldChar w:fldCharType="end"/>
        </w:r>
      </w:hyperlink>
    </w:p>
    <w:p w:rsidR="000C3190" w:rsidRDefault="0092493E">
      <w:pPr>
        <w:pStyle w:val="TOC3"/>
        <w:tabs>
          <w:tab w:val="right" w:leader="dot" w:pos="10194"/>
        </w:tabs>
        <w:rPr>
          <w:rFonts w:asciiTheme="minorHAnsi" w:hAnsiTheme="minorHAnsi"/>
          <w:noProof/>
          <w:sz w:val="22"/>
          <w:lang w:eastAsia="en-AU"/>
        </w:rPr>
      </w:pPr>
      <w:hyperlink w:anchor="_Toc428362766" w:history="1">
        <w:r w:rsidR="000C3190" w:rsidRPr="00C20BB8">
          <w:rPr>
            <w:rStyle w:val="Hyperlink"/>
            <w:noProof/>
          </w:rPr>
          <w:t>Funding arrangements – high reliance on community goodwill to run services</w:t>
        </w:r>
        <w:r w:rsidR="000C3190">
          <w:rPr>
            <w:noProof/>
            <w:webHidden/>
          </w:rPr>
          <w:tab/>
        </w:r>
        <w:r w:rsidR="000C3190">
          <w:rPr>
            <w:noProof/>
            <w:webHidden/>
          </w:rPr>
          <w:fldChar w:fldCharType="begin"/>
        </w:r>
        <w:r w:rsidR="000C3190">
          <w:rPr>
            <w:noProof/>
            <w:webHidden/>
          </w:rPr>
          <w:instrText xml:space="preserve"> PAGEREF _Toc428362766 \h </w:instrText>
        </w:r>
        <w:r w:rsidR="000C3190">
          <w:rPr>
            <w:noProof/>
            <w:webHidden/>
          </w:rPr>
        </w:r>
        <w:r w:rsidR="000C3190">
          <w:rPr>
            <w:noProof/>
            <w:webHidden/>
          </w:rPr>
          <w:fldChar w:fldCharType="separate"/>
        </w:r>
        <w:r w:rsidR="008D40E2">
          <w:rPr>
            <w:noProof/>
            <w:webHidden/>
          </w:rPr>
          <w:t>16</w:t>
        </w:r>
        <w:r w:rsidR="000C3190">
          <w:rPr>
            <w:noProof/>
            <w:webHidden/>
          </w:rPr>
          <w:fldChar w:fldCharType="end"/>
        </w:r>
      </w:hyperlink>
    </w:p>
    <w:p w:rsidR="000C3190" w:rsidRDefault="0092493E">
      <w:pPr>
        <w:pStyle w:val="TOC4"/>
        <w:tabs>
          <w:tab w:val="right" w:leader="dot" w:pos="10194"/>
        </w:tabs>
        <w:rPr>
          <w:rFonts w:asciiTheme="minorHAnsi" w:hAnsiTheme="minorHAnsi"/>
          <w:noProof/>
          <w:sz w:val="22"/>
          <w:lang w:eastAsia="en-AU"/>
        </w:rPr>
      </w:pPr>
      <w:hyperlink w:anchor="_Toc428362767" w:history="1">
        <w:r w:rsidR="000C3190" w:rsidRPr="00C20BB8">
          <w:rPr>
            <w:rStyle w:val="Hyperlink"/>
            <w:noProof/>
          </w:rPr>
          <w:t>Out-of-pocket expenses incurred by clients</w:t>
        </w:r>
        <w:r w:rsidR="000C3190">
          <w:rPr>
            <w:noProof/>
            <w:webHidden/>
          </w:rPr>
          <w:tab/>
        </w:r>
        <w:r w:rsidR="000C3190">
          <w:rPr>
            <w:noProof/>
            <w:webHidden/>
          </w:rPr>
          <w:fldChar w:fldCharType="begin"/>
        </w:r>
        <w:r w:rsidR="000C3190">
          <w:rPr>
            <w:noProof/>
            <w:webHidden/>
          </w:rPr>
          <w:instrText xml:space="preserve"> PAGEREF _Toc428362767 \h </w:instrText>
        </w:r>
        <w:r w:rsidR="000C3190">
          <w:rPr>
            <w:noProof/>
            <w:webHidden/>
          </w:rPr>
        </w:r>
        <w:r w:rsidR="000C3190">
          <w:rPr>
            <w:noProof/>
            <w:webHidden/>
          </w:rPr>
          <w:fldChar w:fldCharType="separate"/>
        </w:r>
        <w:r w:rsidR="008D40E2">
          <w:rPr>
            <w:noProof/>
            <w:webHidden/>
          </w:rPr>
          <w:t>17</w:t>
        </w:r>
        <w:r w:rsidR="000C3190">
          <w:rPr>
            <w:noProof/>
            <w:webHidden/>
          </w:rPr>
          <w:fldChar w:fldCharType="end"/>
        </w:r>
      </w:hyperlink>
    </w:p>
    <w:p w:rsidR="000C3190" w:rsidRDefault="0092493E">
      <w:pPr>
        <w:pStyle w:val="TOC3"/>
        <w:tabs>
          <w:tab w:val="right" w:leader="dot" w:pos="10194"/>
        </w:tabs>
        <w:rPr>
          <w:rFonts w:asciiTheme="minorHAnsi" w:hAnsiTheme="minorHAnsi"/>
          <w:noProof/>
          <w:sz w:val="22"/>
          <w:lang w:eastAsia="en-AU"/>
        </w:rPr>
      </w:pPr>
      <w:hyperlink w:anchor="_Toc428362768" w:history="1">
        <w:r w:rsidR="000C3190" w:rsidRPr="00C20BB8">
          <w:rPr>
            <w:rStyle w:val="Hyperlink"/>
            <w:noProof/>
          </w:rPr>
          <w:t>Geographic area of service delivery</w:t>
        </w:r>
        <w:r w:rsidR="000C3190">
          <w:rPr>
            <w:noProof/>
            <w:webHidden/>
          </w:rPr>
          <w:tab/>
        </w:r>
        <w:r w:rsidR="000C3190">
          <w:rPr>
            <w:noProof/>
            <w:webHidden/>
          </w:rPr>
          <w:fldChar w:fldCharType="begin"/>
        </w:r>
        <w:r w:rsidR="000C3190">
          <w:rPr>
            <w:noProof/>
            <w:webHidden/>
          </w:rPr>
          <w:instrText xml:space="preserve"> PAGEREF _Toc428362768 \h </w:instrText>
        </w:r>
        <w:r w:rsidR="000C3190">
          <w:rPr>
            <w:noProof/>
            <w:webHidden/>
          </w:rPr>
        </w:r>
        <w:r w:rsidR="000C3190">
          <w:rPr>
            <w:noProof/>
            <w:webHidden/>
          </w:rPr>
          <w:fldChar w:fldCharType="separate"/>
        </w:r>
        <w:r w:rsidR="008D40E2">
          <w:rPr>
            <w:noProof/>
            <w:webHidden/>
          </w:rPr>
          <w:t>17</w:t>
        </w:r>
        <w:r w:rsidR="000C3190">
          <w:rPr>
            <w:noProof/>
            <w:webHidden/>
          </w:rPr>
          <w:fldChar w:fldCharType="end"/>
        </w:r>
      </w:hyperlink>
    </w:p>
    <w:p w:rsidR="000C3190" w:rsidRDefault="0092493E">
      <w:pPr>
        <w:pStyle w:val="TOC3"/>
        <w:tabs>
          <w:tab w:val="right" w:leader="dot" w:pos="10194"/>
        </w:tabs>
        <w:rPr>
          <w:rFonts w:asciiTheme="minorHAnsi" w:hAnsiTheme="minorHAnsi"/>
          <w:noProof/>
          <w:sz w:val="22"/>
          <w:lang w:eastAsia="en-AU"/>
        </w:rPr>
      </w:pPr>
      <w:hyperlink w:anchor="_Toc428362769" w:history="1">
        <w:r w:rsidR="000C3190" w:rsidRPr="00C20BB8">
          <w:rPr>
            <w:rStyle w:val="Hyperlink"/>
            <w:noProof/>
          </w:rPr>
          <w:t>Groups in greatest need of services</w:t>
        </w:r>
        <w:r w:rsidR="000C3190">
          <w:rPr>
            <w:noProof/>
            <w:webHidden/>
          </w:rPr>
          <w:tab/>
        </w:r>
        <w:r w:rsidR="000C3190">
          <w:rPr>
            <w:noProof/>
            <w:webHidden/>
          </w:rPr>
          <w:fldChar w:fldCharType="begin"/>
        </w:r>
        <w:r w:rsidR="000C3190">
          <w:rPr>
            <w:noProof/>
            <w:webHidden/>
          </w:rPr>
          <w:instrText xml:space="preserve"> PAGEREF _Toc428362769 \h </w:instrText>
        </w:r>
        <w:r w:rsidR="000C3190">
          <w:rPr>
            <w:noProof/>
            <w:webHidden/>
          </w:rPr>
        </w:r>
        <w:r w:rsidR="000C3190">
          <w:rPr>
            <w:noProof/>
            <w:webHidden/>
          </w:rPr>
          <w:fldChar w:fldCharType="separate"/>
        </w:r>
        <w:r w:rsidR="008D40E2">
          <w:rPr>
            <w:noProof/>
            <w:webHidden/>
          </w:rPr>
          <w:t>17</w:t>
        </w:r>
        <w:r w:rsidR="000C3190">
          <w:rPr>
            <w:noProof/>
            <w:webHidden/>
          </w:rPr>
          <w:fldChar w:fldCharType="end"/>
        </w:r>
      </w:hyperlink>
    </w:p>
    <w:p w:rsidR="000C3190" w:rsidRDefault="0092493E">
      <w:pPr>
        <w:pStyle w:val="TOC3"/>
        <w:tabs>
          <w:tab w:val="right" w:leader="dot" w:pos="10194"/>
        </w:tabs>
        <w:rPr>
          <w:rFonts w:asciiTheme="minorHAnsi" w:hAnsiTheme="minorHAnsi"/>
          <w:noProof/>
          <w:sz w:val="22"/>
          <w:lang w:eastAsia="en-AU"/>
        </w:rPr>
      </w:pPr>
      <w:hyperlink w:anchor="_Toc428362770" w:history="1">
        <w:r w:rsidR="000C3190" w:rsidRPr="00C20BB8">
          <w:rPr>
            <w:rStyle w:val="Hyperlink"/>
            <w:noProof/>
          </w:rPr>
          <w:t>The NDIS</w:t>
        </w:r>
        <w:r w:rsidR="000C3190">
          <w:rPr>
            <w:noProof/>
            <w:webHidden/>
          </w:rPr>
          <w:tab/>
        </w:r>
        <w:r w:rsidR="000C3190">
          <w:rPr>
            <w:noProof/>
            <w:webHidden/>
          </w:rPr>
          <w:fldChar w:fldCharType="begin"/>
        </w:r>
        <w:r w:rsidR="000C3190">
          <w:rPr>
            <w:noProof/>
            <w:webHidden/>
          </w:rPr>
          <w:instrText xml:space="preserve"> PAGEREF _Toc428362770 \h </w:instrText>
        </w:r>
        <w:r w:rsidR="000C3190">
          <w:rPr>
            <w:noProof/>
            <w:webHidden/>
          </w:rPr>
        </w:r>
        <w:r w:rsidR="000C3190">
          <w:rPr>
            <w:noProof/>
            <w:webHidden/>
          </w:rPr>
          <w:fldChar w:fldCharType="separate"/>
        </w:r>
        <w:r w:rsidR="008D40E2">
          <w:rPr>
            <w:noProof/>
            <w:webHidden/>
          </w:rPr>
          <w:t>17</w:t>
        </w:r>
        <w:r w:rsidR="000C3190">
          <w:rPr>
            <w:noProof/>
            <w:webHidden/>
          </w:rPr>
          <w:fldChar w:fldCharType="end"/>
        </w:r>
      </w:hyperlink>
    </w:p>
    <w:p w:rsidR="000C3190" w:rsidRDefault="0092493E">
      <w:pPr>
        <w:pStyle w:val="TOC3"/>
        <w:tabs>
          <w:tab w:val="right" w:leader="dot" w:pos="10194"/>
        </w:tabs>
        <w:rPr>
          <w:rFonts w:asciiTheme="minorHAnsi" w:hAnsiTheme="minorHAnsi"/>
          <w:noProof/>
          <w:sz w:val="22"/>
          <w:lang w:eastAsia="en-AU"/>
        </w:rPr>
      </w:pPr>
      <w:hyperlink w:anchor="_Toc428362771" w:history="1">
        <w:r w:rsidR="000C3190" w:rsidRPr="00C20BB8">
          <w:rPr>
            <w:rStyle w:val="Hyperlink"/>
            <w:noProof/>
          </w:rPr>
          <w:t>Aged care</w:t>
        </w:r>
        <w:r w:rsidR="000C3190">
          <w:rPr>
            <w:noProof/>
            <w:webHidden/>
          </w:rPr>
          <w:tab/>
        </w:r>
        <w:r w:rsidR="000C3190">
          <w:rPr>
            <w:noProof/>
            <w:webHidden/>
          </w:rPr>
          <w:fldChar w:fldCharType="begin"/>
        </w:r>
        <w:r w:rsidR="000C3190">
          <w:rPr>
            <w:noProof/>
            <w:webHidden/>
          </w:rPr>
          <w:instrText xml:space="preserve"> PAGEREF _Toc428362771 \h </w:instrText>
        </w:r>
        <w:r w:rsidR="000C3190">
          <w:rPr>
            <w:noProof/>
            <w:webHidden/>
          </w:rPr>
        </w:r>
        <w:r w:rsidR="000C3190">
          <w:rPr>
            <w:noProof/>
            <w:webHidden/>
          </w:rPr>
          <w:fldChar w:fldCharType="separate"/>
        </w:r>
        <w:r w:rsidR="008D40E2">
          <w:rPr>
            <w:noProof/>
            <w:webHidden/>
          </w:rPr>
          <w:t>18</w:t>
        </w:r>
        <w:r w:rsidR="000C3190">
          <w:rPr>
            <w:noProof/>
            <w:webHidden/>
          </w:rPr>
          <w:fldChar w:fldCharType="end"/>
        </w:r>
      </w:hyperlink>
    </w:p>
    <w:p w:rsidR="000C3190" w:rsidRDefault="0092493E">
      <w:pPr>
        <w:pStyle w:val="TOC2"/>
        <w:tabs>
          <w:tab w:val="right" w:leader="dot" w:pos="10194"/>
        </w:tabs>
        <w:rPr>
          <w:rFonts w:asciiTheme="minorHAnsi" w:hAnsiTheme="minorHAnsi"/>
          <w:noProof/>
          <w:sz w:val="22"/>
          <w:lang w:eastAsia="en-AU"/>
        </w:rPr>
      </w:pPr>
      <w:hyperlink w:anchor="_Toc428362772" w:history="1">
        <w:r w:rsidR="000C3190" w:rsidRPr="00C20BB8">
          <w:rPr>
            <w:rStyle w:val="Hyperlink"/>
            <w:noProof/>
          </w:rPr>
          <w:t>Conclusion</w:t>
        </w:r>
        <w:r w:rsidR="000C3190">
          <w:rPr>
            <w:noProof/>
            <w:webHidden/>
          </w:rPr>
          <w:tab/>
        </w:r>
        <w:r w:rsidR="000C3190">
          <w:rPr>
            <w:noProof/>
            <w:webHidden/>
          </w:rPr>
          <w:fldChar w:fldCharType="begin"/>
        </w:r>
        <w:r w:rsidR="000C3190">
          <w:rPr>
            <w:noProof/>
            <w:webHidden/>
          </w:rPr>
          <w:instrText xml:space="preserve"> PAGEREF _Toc428362772 \h </w:instrText>
        </w:r>
        <w:r w:rsidR="000C3190">
          <w:rPr>
            <w:noProof/>
            <w:webHidden/>
          </w:rPr>
        </w:r>
        <w:r w:rsidR="000C3190">
          <w:rPr>
            <w:noProof/>
            <w:webHidden/>
          </w:rPr>
          <w:fldChar w:fldCharType="separate"/>
        </w:r>
        <w:r w:rsidR="008D40E2">
          <w:rPr>
            <w:noProof/>
            <w:webHidden/>
          </w:rPr>
          <w:t>19</w:t>
        </w:r>
        <w:r w:rsidR="000C3190">
          <w:rPr>
            <w:noProof/>
            <w:webHidden/>
          </w:rPr>
          <w:fldChar w:fldCharType="end"/>
        </w:r>
      </w:hyperlink>
    </w:p>
    <w:p w:rsidR="000C3190" w:rsidRDefault="0092493E">
      <w:pPr>
        <w:pStyle w:val="TOC2"/>
        <w:tabs>
          <w:tab w:val="right" w:leader="dot" w:pos="10194"/>
        </w:tabs>
        <w:rPr>
          <w:rFonts w:asciiTheme="minorHAnsi" w:hAnsiTheme="minorHAnsi"/>
          <w:noProof/>
          <w:sz w:val="22"/>
          <w:lang w:eastAsia="en-AU"/>
        </w:rPr>
      </w:pPr>
      <w:hyperlink w:anchor="_Toc428362773" w:history="1">
        <w:r w:rsidR="000C3190" w:rsidRPr="00C20BB8">
          <w:rPr>
            <w:rStyle w:val="Hyperlink"/>
            <w:noProof/>
          </w:rPr>
          <w:t>Appendix A</w:t>
        </w:r>
        <w:r w:rsidR="000C3190">
          <w:rPr>
            <w:noProof/>
            <w:webHidden/>
          </w:rPr>
          <w:tab/>
        </w:r>
        <w:r w:rsidR="000C3190">
          <w:rPr>
            <w:noProof/>
            <w:webHidden/>
          </w:rPr>
          <w:fldChar w:fldCharType="begin"/>
        </w:r>
        <w:r w:rsidR="000C3190">
          <w:rPr>
            <w:noProof/>
            <w:webHidden/>
          </w:rPr>
          <w:instrText xml:space="preserve"> PAGEREF _Toc428362773 \h </w:instrText>
        </w:r>
        <w:r w:rsidR="000C3190">
          <w:rPr>
            <w:noProof/>
            <w:webHidden/>
          </w:rPr>
        </w:r>
        <w:r w:rsidR="000C3190">
          <w:rPr>
            <w:noProof/>
            <w:webHidden/>
          </w:rPr>
          <w:fldChar w:fldCharType="separate"/>
        </w:r>
        <w:r w:rsidR="008D40E2">
          <w:rPr>
            <w:noProof/>
            <w:webHidden/>
          </w:rPr>
          <w:t>19</w:t>
        </w:r>
        <w:r w:rsidR="000C3190">
          <w:rPr>
            <w:noProof/>
            <w:webHidden/>
          </w:rPr>
          <w:fldChar w:fldCharType="end"/>
        </w:r>
      </w:hyperlink>
    </w:p>
    <w:p w:rsidR="00F00786" w:rsidRDefault="00D520F1">
      <w:pPr>
        <w:spacing w:before="0" w:after="200"/>
        <w:rPr>
          <w:rFonts w:eastAsiaTheme="majorEastAsia" w:cstheme="majorBidi"/>
          <w:bCs/>
          <w:sz w:val="36"/>
          <w:szCs w:val="26"/>
        </w:rPr>
      </w:pPr>
      <w:r>
        <w:fldChar w:fldCharType="end"/>
      </w:r>
      <w:r w:rsidR="00F00786">
        <w:br w:type="page"/>
      </w:r>
    </w:p>
    <w:p w:rsidR="00F00786" w:rsidRPr="00EE106B" w:rsidRDefault="00EE106B" w:rsidP="00EE106B">
      <w:pPr>
        <w:pStyle w:val="Heading2"/>
      </w:pPr>
      <w:bookmarkStart w:id="32" w:name="_Toc428361009"/>
      <w:bookmarkStart w:id="33" w:name="_Toc428362750"/>
      <w:bookmarkStart w:id="34" w:name="_Toc428357334"/>
      <w:r>
        <w:lastRenderedPageBreak/>
        <w:t>Executive summary</w:t>
      </w:r>
      <w:bookmarkEnd w:id="32"/>
      <w:bookmarkEnd w:id="33"/>
    </w:p>
    <w:p w:rsidR="00F00786" w:rsidRPr="00EE106B" w:rsidRDefault="00F00786" w:rsidP="00EE106B">
      <w:r w:rsidRPr="00EE106B">
        <w:t>Vision 2020 Australia, National Disability Services (NDS) and the Australian Blindness Forum (ABF) undertook an online survey of their collective members</w:t>
      </w:r>
      <w:r w:rsidRPr="00EE106B">
        <w:br/>
        <w:t xml:space="preserve">(service providers, consumer groups and research bodies), in order to obtain a national perspective on the blindness, low vision and rehabilitation sector. This report highlights issues relating to current capacity in anticipation of rising demand for blindness, low vision and rehabilitation services. </w:t>
      </w:r>
    </w:p>
    <w:p w:rsidR="00F00786" w:rsidRPr="00EE106B" w:rsidRDefault="00F00786" w:rsidP="00EE106B">
      <w:r w:rsidRPr="00EE106B">
        <w:t>The findings clearly show that demand for services exceeds current sector capacity, with all respondents citing demand outweighing supply and almost two-thirds noting staff being required to work outside set hours. More than half of the respondents reported an increase in service wait times on the previous year and more than a quarter reported having to refuse service. The majority of respondents anticipated that demand would further increase in the 2014 calendar year, across all service types.</w:t>
      </w:r>
    </w:p>
    <w:p w:rsidR="00F00786" w:rsidRPr="00EE106B" w:rsidRDefault="00F00786" w:rsidP="00EE106B">
      <w:r w:rsidRPr="00EE106B">
        <w:t>Some of the key data reported for the 2013 calendar year was:</w:t>
      </w:r>
    </w:p>
    <w:p w:rsidR="00F00786" w:rsidRPr="00EE106B" w:rsidRDefault="00F00786" w:rsidP="00EE106B">
      <w:pPr>
        <w:pStyle w:val="ListParagraph"/>
        <w:numPr>
          <w:ilvl w:val="0"/>
          <w:numId w:val="27"/>
        </w:numPr>
      </w:pPr>
      <w:r w:rsidRPr="00EE106B">
        <w:t>90,203 clients accessed services</w:t>
      </w:r>
      <w:r w:rsidR="00EE106B">
        <w:rPr>
          <w:rStyle w:val="FootnoteReference"/>
        </w:rPr>
        <w:footnoteReference w:id="1"/>
      </w:r>
      <w:r w:rsidR="00EE106B">
        <w:t xml:space="preserve"> with </w:t>
      </w:r>
      <w:r w:rsidRPr="00EE106B">
        <w:t>two per cent identi</w:t>
      </w:r>
      <w:r w:rsidR="00EE106B">
        <w:t xml:space="preserve">fying as Aboriginal or Torres </w:t>
      </w:r>
      <w:r w:rsidRPr="00EE106B">
        <w:t>Strait Islander.</w:t>
      </w:r>
    </w:p>
    <w:p w:rsidR="00F00786" w:rsidRPr="00EE106B" w:rsidRDefault="00F00786" w:rsidP="00EE106B">
      <w:pPr>
        <w:pStyle w:val="ListParagraph"/>
        <w:numPr>
          <w:ilvl w:val="0"/>
          <w:numId w:val="27"/>
        </w:numPr>
      </w:pPr>
      <w:r w:rsidRPr="00EE106B">
        <w:t>60 per cent of clients were</w:t>
      </w:r>
      <w:r w:rsidR="00EE106B">
        <w:t xml:space="preserve"> aged 65 years or </w:t>
      </w:r>
      <w:r w:rsidRPr="00EE106B">
        <w:t xml:space="preserve">older, 28 per </w:t>
      </w:r>
      <w:r w:rsidR="00EE106B">
        <w:t xml:space="preserve">cent were aged 19 to 64 years </w:t>
      </w:r>
      <w:r w:rsidRPr="00EE106B">
        <w:t xml:space="preserve">and 11 per cent were aged zero to 18 years. </w:t>
      </w:r>
    </w:p>
    <w:p w:rsidR="00F00786" w:rsidRPr="00EE106B" w:rsidRDefault="00F00786" w:rsidP="00EE106B">
      <w:pPr>
        <w:pStyle w:val="ListParagraph"/>
        <w:numPr>
          <w:ilvl w:val="0"/>
          <w:numId w:val="27"/>
        </w:numPr>
      </w:pPr>
      <w:r w:rsidRPr="00EE106B">
        <w:t>There wer</w:t>
      </w:r>
      <w:r w:rsidR="00EE106B">
        <w:t xml:space="preserve">e 343,391 client presentations </w:t>
      </w:r>
      <w:r w:rsidRPr="00EE106B">
        <w:t>over 580,195 serv</w:t>
      </w:r>
      <w:r w:rsidR="00EE106B">
        <w:t xml:space="preserve">ice hours. This is an average </w:t>
      </w:r>
      <w:r w:rsidRPr="00EE106B">
        <w:t>of approxim</w:t>
      </w:r>
      <w:r w:rsidR="00EE106B">
        <w:t xml:space="preserve">ately one hour 45 minutes per </w:t>
      </w:r>
      <w:r w:rsidRPr="00EE106B">
        <w:t>client presentation.</w:t>
      </w:r>
    </w:p>
    <w:p w:rsidR="00F00786" w:rsidRPr="00EE106B" w:rsidRDefault="00F00786" w:rsidP="00EE106B">
      <w:pPr>
        <w:pStyle w:val="ListParagraph"/>
        <w:numPr>
          <w:ilvl w:val="0"/>
          <w:numId w:val="27"/>
        </w:numPr>
      </w:pPr>
      <w:r w:rsidRPr="00EE106B">
        <w:t>1,505 full-time</w:t>
      </w:r>
      <w:r w:rsidR="00EE106B">
        <w:t xml:space="preserve"> equivalent staff made up the </w:t>
      </w:r>
      <w:r w:rsidRPr="00EE106B">
        <w:t>employed work</w:t>
      </w:r>
      <w:r w:rsidR="00EE106B">
        <w:t xml:space="preserve">force, with 890 (59 per cent) </w:t>
      </w:r>
      <w:r w:rsidRPr="00EE106B">
        <w:t>health/allied</w:t>
      </w:r>
      <w:r w:rsidR="00EE106B">
        <w:t xml:space="preserve"> health professionals and 615 </w:t>
      </w:r>
      <w:r w:rsidRPr="00EE106B">
        <w:t xml:space="preserve">(41 per cent) non-health/allied health staff. </w:t>
      </w:r>
    </w:p>
    <w:p w:rsidR="00F00786" w:rsidRPr="00EE106B" w:rsidRDefault="00F00786" w:rsidP="00EE106B">
      <w:pPr>
        <w:pStyle w:val="ListParagraph"/>
        <w:numPr>
          <w:ilvl w:val="0"/>
          <w:numId w:val="27"/>
        </w:numPr>
      </w:pPr>
      <w:r w:rsidRPr="00EE106B">
        <w:t>Half of the res</w:t>
      </w:r>
      <w:r w:rsidR="00EE106B">
        <w:t xml:space="preserve">pondents that recruited staff </w:t>
      </w:r>
      <w:r w:rsidRPr="00EE106B">
        <w:t xml:space="preserve">reported difficulty </w:t>
      </w:r>
      <w:r w:rsidR="00EE106B">
        <w:t xml:space="preserve">in doing so, with orientation </w:t>
      </w:r>
      <w:r w:rsidRPr="00EE106B">
        <w:t>and mobility specia</w:t>
      </w:r>
      <w:r w:rsidR="00EE106B">
        <w:t xml:space="preserve">lists, guide dog instructors, </w:t>
      </w:r>
      <w:r w:rsidRPr="00EE106B">
        <w:t>orthoptists, ass</w:t>
      </w:r>
      <w:r w:rsidR="00EE106B">
        <w:t xml:space="preserve">istive technology consultants </w:t>
      </w:r>
      <w:r w:rsidRPr="00EE106B">
        <w:t>and optical dispe</w:t>
      </w:r>
      <w:r w:rsidR="00EE106B">
        <w:t xml:space="preserve">nsers (remote location) being </w:t>
      </w:r>
      <w:r w:rsidRPr="00EE106B">
        <w:t xml:space="preserve">cited as being especially difficult to recruit. </w:t>
      </w:r>
    </w:p>
    <w:p w:rsidR="00EE106B" w:rsidRDefault="00F00786" w:rsidP="00EE106B">
      <w:pPr>
        <w:pStyle w:val="ListParagraph"/>
        <w:numPr>
          <w:ilvl w:val="0"/>
          <w:numId w:val="27"/>
        </w:numPr>
      </w:pPr>
      <w:r w:rsidRPr="00EE106B">
        <w:t>Volunteering</w:t>
      </w:r>
      <w:r w:rsidR="00EE106B">
        <w:t xml:space="preserve"> contributed 17,820 hours per </w:t>
      </w:r>
      <w:r w:rsidRPr="00EE106B">
        <w:t>week (equiva</w:t>
      </w:r>
      <w:r w:rsidR="00EE106B">
        <w:t xml:space="preserve">lent to one-third of the paid </w:t>
      </w:r>
      <w:r w:rsidRPr="00EE106B">
        <w:t xml:space="preserve">workforce hours). </w:t>
      </w:r>
      <w:r w:rsidR="00EE106B">
        <w:t xml:space="preserve">This equates to approximately </w:t>
      </w:r>
      <w:r w:rsidRPr="00EE106B">
        <w:t>$30 milli</w:t>
      </w:r>
      <w:r w:rsidR="00EE106B">
        <w:t xml:space="preserve">on of unpaid support per year </w:t>
      </w:r>
      <w:r w:rsidRPr="00EE106B">
        <w:t>facilitated by participating organisations</w:t>
      </w:r>
      <w:r w:rsidR="00EE106B">
        <w:rPr>
          <w:rStyle w:val="FootnoteReference"/>
        </w:rPr>
        <w:footnoteReference w:id="2"/>
      </w:r>
      <w:r w:rsidRPr="00EE106B">
        <w:t>.</w:t>
      </w:r>
    </w:p>
    <w:p w:rsidR="00F00786" w:rsidRPr="00EE106B" w:rsidRDefault="00F00786" w:rsidP="00EE106B">
      <w:pPr>
        <w:pStyle w:val="ListParagraph"/>
        <w:numPr>
          <w:ilvl w:val="0"/>
          <w:numId w:val="27"/>
        </w:numPr>
      </w:pPr>
      <w:r w:rsidRPr="00EE106B">
        <w:t>The services offered by most respondents</w:t>
      </w:r>
      <w:r w:rsidR="00EE106B">
        <w:t xml:space="preserve"> </w:t>
      </w:r>
      <w:r w:rsidRPr="00EE106B">
        <w:t>were c</w:t>
      </w:r>
      <w:r w:rsidR="00EE106B">
        <w:t xml:space="preserve">ommunity awareness/education; </w:t>
      </w:r>
      <w:r w:rsidRPr="00EE106B">
        <w:t>advocacy and advisory; information services; educati</w:t>
      </w:r>
      <w:r w:rsidR="00EE106B">
        <w:t xml:space="preserve">on support; and aids, equipment and </w:t>
      </w:r>
      <w:r w:rsidRPr="00EE106B">
        <w:t>assistive technology.</w:t>
      </w:r>
    </w:p>
    <w:p w:rsidR="00F00786" w:rsidRPr="00EE106B" w:rsidRDefault="00F00786" w:rsidP="00EE106B">
      <w:pPr>
        <w:pStyle w:val="ListParagraph"/>
        <w:numPr>
          <w:ilvl w:val="0"/>
          <w:numId w:val="27"/>
        </w:numPr>
      </w:pPr>
      <w:r w:rsidRPr="00EE106B">
        <w:t>The most utilis</w:t>
      </w:r>
      <w:r w:rsidR="00EE106B">
        <w:t xml:space="preserve">ed services by unique clients </w:t>
      </w:r>
      <w:r w:rsidRPr="00EE106B">
        <w:t>were optomet</w:t>
      </w:r>
      <w:r w:rsidR="00EE106B">
        <w:t xml:space="preserve">ry/orthoptics; library; aids, </w:t>
      </w:r>
      <w:r w:rsidRPr="00EE106B">
        <w:t xml:space="preserve">equipment </w:t>
      </w:r>
      <w:r w:rsidR="00EE106B">
        <w:t xml:space="preserve">and assistive technology; and </w:t>
      </w:r>
      <w:r w:rsidRPr="00EE106B">
        <w:t>information services.</w:t>
      </w:r>
    </w:p>
    <w:p w:rsidR="00F00786" w:rsidRPr="00EE106B" w:rsidRDefault="00F00786" w:rsidP="00EE106B">
      <w:pPr>
        <w:pStyle w:val="ListParagraph"/>
        <w:numPr>
          <w:ilvl w:val="0"/>
          <w:numId w:val="27"/>
        </w:numPr>
      </w:pPr>
      <w:r w:rsidRPr="00EE106B">
        <w:lastRenderedPageBreak/>
        <w:t>27 per cent of r</w:t>
      </w:r>
      <w:r w:rsidR="00EE106B">
        <w:t xml:space="preserve">espondents reported that they </w:t>
      </w:r>
      <w:r w:rsidRPr="00EE106B">
        <w:t xml:space="preserve">have had to refuse </w:t>
      </w:r>
      <w:r w:rsidR="00EE106B">
        <w:t xml:space="preserve">service to clients because of </w:t>
      </w:r>
      <w:r w:rsidRPr="00EE106B">
        <w:t>high demand.</w:t>
      </w:r>
    </w:p>
    <w:p w:rsidR="00F00786" w:rsidRPr="00EE106B" w:rsidRDefault="00F00786" w:rsidP="00EE106B">
      <w:pPr>
        <w:pStyle w:val="ListParagraph"/>
        <w:numPr>
          <w:ilvl w:val="0"/>
          <w:numId w:val="27"/>
        </w:numPr>
      </w:pPr>
      <w:r w:rsidRPr="00EE106B">
        <w:t>The total operat</w:t>
      </w:r>
      <w:r w:rsidR="00EE106B">
        <w:t xml:space="preserve">ing budget for respondents was </w:t>
      </w:r>
      <w:r w:rsidRPr="00EE106B">
        <w:t>$188.2 million. The greatest pro</w:t>
      </w:r>
      <w:r w:rsidR="00EE106B">
        <w:t xml:space="preserve">portion of </w:t>
      </w:r>
      <w:r w:rsidRPr="00EE106B">
        <w:t xml:space="preserve">income at </w:t>
      </w:r>
      <w:r w:rsidR="00EE106B">
        <w:t xml:space="preserve">43 per cent ($81 million) was </w:t>
      </w:r>
      <w:r w:rsidRPr="00EE106B">
        <w:t>generated by fun</w:t>
      </w:r>
      <w:r w:rsidR="00EE106B">
        <w:t xml:space="preserve">draising and bequests, with a </w:t>
      </w:r>
      <w:r w:rsidRPr="00EE106B">
        <w:t>further 18 per ce</w:t>
      </w:r>
      <w:r w:rsidR="00EE106B">
        <w:t xml:space="preserve">nt from sales ($34.4 million) </w:t>
      </w:r>
      <w:r w:rsidRPr="00EE106B">
        <w:t xml:space="preserve">and nine per </w:t>
      </w:r>
      <w:r w:rsidR="00EE106B">
        <w:t xml:space="preserve">cent from investments, grants </w:t>
      </w:r>
      <w:r w:rsidRPr="00EE106B">
        <w:t>and other source</w:t>
      </w:r>
      <w:r w:rsidR="00EE106B">
        <w:t xml:space="preserve">s. Income from all government </w:t>
      </w:r>
      <w:r w:rsidRPr="00EE106B">
        <w:t>sources amounted to 30 per cent at $56 million.</w:t>
      </w:r>
    </w:p>
    <w:p w:rsidR="00F00786" w:rsidRPr="00EE106B" w:rsidRDefault="00EE106B" w:rsidP="00EE106B">
      <w:pPr>
        <w:pStyle w:val="Heading2"/>
      </w:pPr>
      <w:bookmarkStart w:id="35" w:name="_Toc428361010"/>
      <w:bookmarkStart w:id="36" w:name="_Toc428362751"/>
      <w:r>
        <w:t>Recommendations</w:t>
      </w:r>
      <w:bookmarkEnd w:id="35"/>
      <w:bookmarkEnd w:id="36"/>
    </w:p>
    <w:p w:rsidR="00F00786" w:rsidRPr="00EE106B" w:rsidRDefault="00F00786" w:rsidP="00EE106B">
      <w:r w:rsidRPr="00EE106B">
        <w:t xml:space="preserve">This report presents the first ever snapshot of services relating to blindness and low vision in Australia, but has only partially addressed the paucity of national data about this important sector. Vision 2020 Australia, ABF and NDS are confident that it accurately captures an overall picture of service provision together with the main ‘pressure points’ as reported by the network of service providers that plan and deliver services to the nearly one million Australians that are expected to have vision loss by 2020.  </w:t>
      </w:r>
    </w:p>
    <w:p w:rsidR="00F00786" w:rsidRPr="00EE106B" w:rsidRDefault="00F00786" w:rsidP="00EE106B">
      <w:r w:rsidRPr="00EE106B">
        <w:t xml:space="preserve">We recommend: </w:t>
      </w:r>
    </w:p>
    <w:p w:rsidR="00F00786" w:rsidRPr="00EE106B" w:rsidRDefault="00F00786" w:rsidP="00EE106B">
      <w:pPr>
        <w:pStyle w:val="ListParagraph"/>
        <w:numPr>
          <w:ilvl w:val="0"/>
          <w:numId w:val="28"/>
        </w:numPr>
      </w:pPr>
      <w:r w:rsidRPr="00EE106B">
        <w:rPr>
          <w:b/>
        </w:rPr>
        <w:t>That further research is undertaken</w:t>
      </w:r>
      <w:r w:rsidR="00EE106B">
        <w:t xml:space="preserve"> to </w:t>
      </w:r>
      <w:r w:rsidRPr="00EE106B">
        <w:t>determine the</w:t>
      </w:r>
      <w:r w:rsidR="00EE106B">
        <w:t xml:space="preserve"> capacity and preparedness of </w:t>
      </w:r>
      <w:r w:rsidRPr="00EE106B">
        <w:t>the blindness a</w:t>
      </w:r>
      <w:r w:rsidR="00EE106B">
        <w:t xml:space="preserve">nd low vision service sector, </w:t>
      </w:r>
      <w:r w:rsidRPr="00EE106B">
        <w:t xml:space="preserve">particularly in monitoring the impact of </w:t>
      </w:r>
      <w:r w:rsidR="00EE106B">
        <w:t xml:space="preserve">the </w:t>
      </w:r>
      <w:r w:rsidRPr="00EE106B">
        <w:t>National Disab</w:t>
      </w:r>
      <w:r w:rsidR="00EE106B">
        <w:t xml:space="preserve">ility Insurance Scheme (NDIS) </w:t>
      </w:r>
      <w:r w:rsidRPr="00EE106B">
        <w:t>and aged care re</w:t>
      </w:r>
      <w:r w:rsidR="00EE106B">
        <w:t xml:space="preserve">forms. Research that supports </w:t>
      </w:r>
      <w:r w:rsidRPr="00EE106B">
        <w:t>business and</w:t>
      </w:r>
      <w:r w:rsidR="00EE106B">
        <w:t xml:space="preserve"> workforce planning including </w:t>
      </w:r>
      <w:r w:rsidRPr="00EE106B">
        <w:t>projected demand</w:t>
      </w:r>
      <w:r w:rsidR="00EE106B">
        <w:t xml:space="preserve"> for blindness and low vision </w:t>
      </w:r>
      <w:r w:rsidRPr="00EE106B">
        <w:t>services is urgently required.</w:t>
      </w:r>
    </w:p>
    <w:p w:rsidR="00F00786" w:rsidRPr="00EE106B" w:rsidRDefault="00F00786" w:rsidP="00EE106B">
      <w:pPr>
        <w:pStyle w:val="ListParagraph"/>
        <w:numPr>
          <w:ilvl w:val="0"/>
          <w:numId w:val="28"/>
        </w:numPr>
      </w:pPr>
      <w:r w:rsidRPr="00EE106B">
        <w:rPr>
          <w:b/>
        </w:rPr>
        <w:t>That a government advisory com</w:t>
      </w:r>
      <w:r w:rsidR="00EE106B" w:rsidRPr="00EE106B">
        <w:rPr>
          <w:b/>
        </w:rPr>
        <w:t xml:space="preserve">mittee </w:t>
      </w:r>
      <w:r w:rsidRPr="00EE106B">
        <w:rPr>
          <w:b/>
        </w:rPr>
        <w:t>comprised</w:t>
      </w:r>
      <w:r w:rsidR="00EE106B" w:rsidRPr="00EE106B">
        <w:rPr>
          <w:b/>
        </w:rPr>
        <w:t xml:space="preserve"> of consumer representatives, </w:t>
      </w:r>
      <w:r w:rsidRPr="00EE106B">
        <w:rPr>
          <w:b/>
        </w:rPr>
        <w:t>service pr</w:t>
      </w:r>
      <w:r w:rsidR="00EE106B" w:rsidRPr="00EE106B">
        <w:rPr>
          <w:b/>
        </w:rPr>
        <w:t xml:space="preserve">oviders and departmental staff </w:t>
      </w:r>
      <w:r w:rsidRPr="00EE106B">
        <w:rPr>
          <w:b/>
        </w:rPr>
        <w:t>be established</w:t>
      </w:r>
      <w:r w:rsidR="00EE106B">
        <w:t xml:space="preserve"> to report to the minister </w:t>
      </w:r>
      <w:r w:rsidRPr="00EE106B">
        <w:t>responsible on</w:t>
      </w:r>
      <w:r w:rsidR="00EE106B">
        <w:t xml:space="preserve"> how the projected demand for </w:t>
      </w:r>
      <w:r w:rsidRPr="00EE106B">
        <w:t>blindness and low v</w:t>
      </w:r>
      <w:r w:rsidR="00EE106B">
        <w:t xml:space="preserve">ision services will be met in </w:t>
      </w:r>
      <w:r w:rsidRPr="00EE106B">
        <w:t>the medium to long term.</w:t>
      </w:r>
      <w:r w:rsidR="00EE106B">
        <w:t xml:space="preserve"> An industry </w:t>
      </w:r>
      <w:r w:rsidRPr="00EE106B">
        <w:t>development str</w:t>
      </w:r>
      <w:r w:rsidR="00EE106B">
        <w:t xml:space="preserve">ategy is required building on </w:t>
      </w:r>
      <w:r w:rsidRPr="00EE106B">
        <w:t>advice from con</w:t>
      </w:r>
      <w:r w:rsidR="00EE106B">
        <w:t xml:space="preserve">sumers, service providers and </w:t>
      </w:r>
      <w:r w:rsidRPr="00EE106B">
        <w:t>government to e</w:t>
      </w:r>
      <w:r w:rsidR="00EE106B">
        <w:t xml:space="preserve">nsure people who are blind or </w:t>
      </w:r>
      <w:r w:rsidRPr="00EE106B">
        <w:t>vision impaired h</w:t>
      </w:r>
      <w:r w:rsidR="00EE106B">
        <w:t xml:space="preserve">ave the services and supports </w:t>
      </w:r>
      <w:r w:rsidRPr="00EE106B">
        <w:t>they need to fully participate in the community.</w:t>
      </w:r>
    </w:p>
    <w:p w:rsidR="0072099E" w:rsidRPr="00EE106B" w:rsidRDefault="0072099E" w:rsidP="00EE106B">
      <w:pPr>
        <w:pStyle w:val="Heading2"/>
      </w:pPr>
      <w:bookmarkStart w:id="37" w:name="_Toc428361011"/>
      <w:bookmarkStart w:id="38" w:name="_Toc428362752"/>
      <w:r w:rsidRPr="00EE106B">
        <w:t>Overview</w:t>
      </w:r>
      <w:bookmarkEnd w:id="34"/>
      <w:bookmarkEnd w:id="37"/>
      <w:bookmarkEnd w:id="38"/>
    </w:p>
    <w:p w:rsidR="00F00786" w:rsidRPr="00EE106B" w:rsidRDefault="00F00786" w:rsidP="00EE106B">
      <w:bookmarkStart w:id="39" w:name="_Toc428357335"/>
      <w:r w:rsidRPr="00EE106B">
        <w:t>It is estimated that there are over 575,000</w:t>
      </w:r>
      <w:r w:rsidR="00EE106B">
        <w:rPr>
          <w:rStyle w:val="FootnoteReference"/>
        </w:rPr>
        <w:footnoteReference w:id="3"/>
      </w:r>
      <w:r w:rsidRPr="00EE106B">
        <w:t xml:space="preserve"> people who are currently blind or have vision loss living in Australia, projected to grow to over 800,000 by 2020</w:t>
      </w:r>
      <w:r w:rsidR="00EE106B">
        <w:rPr>
          <w:rStyle w:val="FootnoteReference"/>
        </w:rPr>
        <w:footnoteReference w:id="4"/>
      </w:r>
      <w:r w:rsidRPr="00EE106B">
        <w:t>. This rapid increase is due to the ageing population and the fact that the risk of eye disease increases three-fold for each decade over the age of 40</w:t>
      </w:r>
      <w:r w:rsidR="00130A10">
        <w:rPr>
          <w:rStyle w:val="FootnoteReference"/>
        </w:rPr>
        <w:footnoteReference w:id="5"/>
      </w:r>
      <w:r w:rsidRPr="00EE106B">
        <w:t xml:space="preserve">.The situation is worse for Aboriginal and Torres Strait Islander people, who </w:t>
      </w:r>
      <w:r w:rsidRPr="00EE106B">
        <w:lastRenderedPageBreak/>
        <w:t>experience six times the rate of</w:t>
      </w:r>
      <w:r w:rsidR="002A4BEF">
        <w:t xml:space="preserve"> blindness and three times the  </w:t>
      </w:r>
      <w:r w:rsidRPr="00EE106B">
        <w:t>rate of vision impairment in compariso</w:t>
      </w:r>
      <w:r w:rsidR="002A4BEF">
        <w:t>n to the rest of the population</w:t>
      </w:r>
      <w:r w:rsidR="002A4BEF">
        <w:rPr>
          <w:rStyle w:val="FootnoteReference"/>
        </w:rPr>
        <w:footnoteReference w:id="6"/>
      </w:r>
      <w:r w:rsidRPr="00EE106B">
        <w:t>.</w:t>
      </w:r>
    </w:p>
    <w:p w:rsidR="00F00786" w:rsidRPr="00EE106B" w:rsidRDefault="00F00786" w:rsidP="00EE106B">
      <w:r w:rsidRPr="00EE106B">
        <w:t>The annual economic cost attributable to blindness and vision impairment is estimated to be $16 billion, with the social and personal cost to individuals and their families further adding to the impact on Australian communities. In comparison to the general population, people who are blind or vision impaired have more than four times the rate of unemployment, suffer twice as many falls, have three times the risk of depression, are admitted to residential care three years earlier and often lose confidence to inde</w:t>
      </w:r>
      <w:r w:rsidR="002A4BEF">
        <w:t>pendently manage everyday life</w:t>
      </w:r>
      <w:r w:rsidR="002A4BEF">
        <w:rPr>
          <w:rStyle w:val="FootnoteReference"/>
        </w:rPr>
        <w:footnoteReference w:id="7"/>
      </w:r>
      <w:r w:rsidRPr="00EE106B">
        <w:t>. Anecdotally, service providers have examples that people who receive specialist services are able to maintain employment, remain at home and live independently and in doing so can be more self-sufficient and cost less in government supports.</w:t>
      </w:r>
    </w:p>
    <w:p w:rsidR="00F00786" w:rsidRPr="00EE106B" w:rsidRDefault="00F00786" w:rsidP="00EE106B">
      <w:r w:rsidRPr="00EE106B">
        <w:t>Further research shows that decreased visual acuity is linked to an increased five year mortality, while even a mild visual impairment has been found to increase the ri</w:t>
      </w:r>
      <w:r w:rsidR="002A4BEF">
        <w:t>sk of death more than two-fold</w:t>
      </w:r>
      <w:r w:rsidR="002A4BEF">
        <w:rPr>
          <w:rStyle w:val="FootnoteReference"/>
        </w:rPr>
        <w:footnoteReference w:id="8"/>
      </w:r>
      <w:r w:rsidRPr="00EE106B">
        <w:t>. This is thought to be due to associated disorders and the relationship between poorer visual function and increased risk of falls and car accidents.</w:t>
      </w:r>
    </w:p>
    <w:p w:rsidR="00F00786" w:rsidRPr="00EE106B" w:rsidRDefault="00F00786" w:rsidP="00EE106B">
      <w:r w:rsidRPr="00EE106B">
        <w:t>However, by getting the right services and supports at the right times, people with unavoidable blindness or vision impairment can develop skills to remain independent, fully participate in the community and live the life they choose.</w:t>
      </w:r>
    </w:p>
    <w:p w:rsidR="00F00786" w:rsidRPr="00EE106B" w:rsidRDefault="00F00786" w:rsidP="00EE106B">
      <w:r w:rsidRPr="00EE106B">
        <w:t>Providers engaged with this research report that current major policy reforms in disability and aged care including the National Disability Insurance Scheme (NDIS), the Home Care Packages Program and the Commonwealth Home Support Program in particular, may not adequately account for the functional needs of people who are blind or vision impaired. While still in their early stages of implementation, the administrative systems and processes and result</w:t>
      </w:r>
      <w:r w:rsidR="002A4BEF">
        <w:t xml:space="preserve">ing services and supports, must </w:t>
      </w:r>
      <w:r w:rsidRPr="00EE106B">
        <w:t xml:space="preserve">be developed to acknowledge and cater for the unique needs of blindness and vision impairment. </w:t>
      </w:r>
    </w:p>
    <w:p w:rsidR="00F00786" w:rsidRPr="00EE106B" w:rsidRDefault="00F00786" w:rsidP="00EE106B">
      <w:r w:rsidRPr="00EE106B">
        <w:t xml:space="preserve">Policy reform requires reliable data on service provision to people who are blind or vision impaired. There are over 40 blindness, low vision and rehabilitation service providers, however no national data currently exists on services provided. To address this lack of data, three member based organisations – National Disability Services (NDS), Vision 2020 Australia and the Australian Blindness Forum (ABF) – collaborated to survey their collective members to gather the first ever set of data across five domains: services offered; geographic area of service delivery; supply and demand of services; staffing and volunteering; and funding arrangements. </w:t>
      </w:r>
    </w:p>
    <w:p w:rsidR="00F00786" w:rsidRPr="00EE106B" w:rsidRDefault="00F00786" w:rsidP="00EE106B">
      <w:r w:rsidRPr="00EE106B">
        <w:lastRenderedPageBreak/>
        <w:t>Vision 2020 Australia is the peak body for the eye health and vision care sector, representing around 50 member organisations involved in: local and global eye care; health promotion; supports and services for people who are blind or vision impaired; research; professional assistance and community support. Vision 2020 Australia is part of VISION 2020: The Right to Sight, a global initiative of the World Health Organisation and the International Agency for the Prevention of Blindness.</w:t>
      </w:r>
    </w:p>
    <w:p w:rsidR="00F00786" w:rsidRPr="00EE106B" w:rsidRDefault="00F00786" w:rsidP="00EE106B">
      <w:r w:rsidRPr="00EE106B">
        <w:t>The ABF is the peak body for the blindness sector that comprises 22 of the major service providers for people who are blind or vision impaired across Australia. Members of the ABF are organisations whose primary objects are the provision of services to people who are blind or vision impaired; those whose activities are substantially connected with the welfare of people who are blind or vision impaired; and those whose activities are substantially related to the prevention of blindness.</w:t>
      </w:r>
    </w:p>
    <w:p w:rsidR="00F00786" w:rsidRPr="00EE106B" w:rsidRDefault="00F00786" w:rsidP="00EE106B">
      <w:r w:rsidRPr="00EE106B">
        <w:t>NDS is Australia’s peak body for non-government disability service organisations and has over 1030 organisational members who operate several thousand services for Australians with all types of disability. Members range in size from small support groups to large multi-service organisations.</w:t>
      </w:r>
    </w:p>
    <w:p w:rsidR="00F00786" w:rsidRPr="00EE106B" w:rsidRDefault="00F00786" w:rsidP="00EE106B">
      <w:r w:rsidRPr="00EE106B">
        <w:t>Together, members of these peak bodies capture the majority of organisations involved in the provision of services and supports to people who are blind or vision impaired.</w:t>
      </w:r>
    </w:p>
    <w:p w:rsidR="00F00786" w:rsidRPr="00EE106B" w:rsidRDefault="00F00786" w:rsidP="00EE106B">
      <w:r w:rsidRPr="00EE106B">
        <w:t>The purpose of the online survey was to collect nationally consistent data and to present a</w:t>
      </w:r>
      <w:r w:rsidR="002A4BEF">
        <w:t xml:space="preserve"> baseline of service provision.</w:t>
      </w:r>
    </w:p>
    <w:p w:rsidR="0072099E" w:rsidRPr="00EE106B" w:rsidRDefault="0072099E" w:rsidP="002A4BEF">
      <w:pPr>
        <w:pStyle w:val="Heading2"/>
      </w:pPr>
      <w:bookmarkStart w:id="40" w:name="_Toc428361012"/>
      <w:bookmarkStart w:id="41" w:name="_Toc428362753"/>
      <w:r w:rsidRPr="00EE106B">
        <w:t>Method</w:t>
      </w:r>
      <w:bookmarkEnd w:id="39"/>
      <w:r w:rsidR="00F00786" w:rsidRPr="00EE106B">
        <w:t>s</w:t>
      </w:r>
      <w:bookmarkEnd w:id="40"/>
      <w:bookmarkEnd w:id="41"/>
    </w:p>
    <w:p w:rsidR="00F00786" w:rsidRPr="00EE106B" w:rsidRDefault="00F00786" w:rsidP="00EE106B">
      <w:r w:rsidRPr="00EE106B">
        <w:t>A total of 39 organisations involved in the delivery of blindness, low vision and rehabilitation services and who are members of either Vision 2020 Australia, the ABF or NDS were invited to participate in the online survey. These organisations were identified as providing services or advice to people who are blind or have low vision in Australia. The survey did not cover services delivered internationally. Of the 39 organisations invited to respond, 30 organisations provided responses to the survey12</w:t>
      </w:r>
      <w:r w:rsidR="002A4BEF">
        <w:rPr>
          <w:rStyle w:val="FootnoteReference"/>
        </w:rPr>
        <w:footnoteReference w:id="9"/>
      </w:r>
      <w:r w:rsidRPr="00EE106B">
        <w:t>. On average, 22 organisations responded to each question. The maximum number of responses to a particular question was 30, while the minimum was 12. This represents an average response rate of 73 per cent, with a range betwee</w:t>
      </w:r>
      <w:r w:rsidR="002A4BEF">
        <w:t>n 40 per cent and 100 per cent</w:t>
      </w:r>
      <w:r w:rsidR="002A4BEF">
        <w:rPr>
          <w:rStyle w:val="FootnoteReference"/>
        </w:rPr>
        <w:footnoteReference w:id="10"/>
      </w:r>
      <w:r w:rsidRPr="00EE106B">
        <w:t>.</w:t>
      </w:r>
    </w:p>
    <w:p w:rsidR="00F00786" w:rsidRPr="00EE106B" w:rsidRDefault="00F00786" w:rsidP="00EE106B">
      <w:r w:rsidRPr="00EE106B">
        <w:lastRenderedPageBreak/>
        <w:t>Respondents were asked to refer to data for the 2013 calendar year when completing the survey. Organisations were primarily asked to report against the following set of services, and list any others they delivered:</w:t>
      </w:r>
    </w:p>
    <w:p w:rsidR="00F00786" w:rsidRPr="00EE106B" w:rsidRDefault="00F00786" w:rsidP="002A4BEF">
      <w:pPr>
        <w:pStyle w:val="ListParagraph"/>
        <w:numPr>
          <w:ilvl w:val="0"/>
          <w:numId w:val="29"/>
        </w:numPr>
      </w:pPr>
      <w:r w:rsidRPr="00EE106B">
        <w:t>activities of daily living (e.g. supported living)</w:t>
      </w:r>
    </w:p>
    <w:p w:rsidR="00F00786" w:rsidRPr="00EE106B" w:rsidRDefault="00F00786" w:rsidP="002A4BEF">
      <w:pPr>
        <w:pStyle w:val="ListParagraph"/>
        <w:numPr>
          <w:ilvl w:val="0"/>
          <w:numId w:val="29"/>
        </w:numPr>
      </w:pPr>
      <w:r w:rsidRPr="00EE106B">
        <w:t>advocacy or advisory</w:t>
      </w:r>
    </w:p>
    <w:p w:rsidR="00F00786" w:rsidRPr="00EE106B" w:rsidRDefault="00F00786" w:rsidP="002A4BEF">
      <w:pPr>
        <w:pStyle w:val="ListParagraph"/>
        <w:numPr>
          <w:ilvl w:val="0"/>
          <w:numId w:val="29"/>
        </w:numPr>
      </w:pPr>
      <w:r w:rsidRPr="00EE106B">
        <w:t>aids, equ</w:t>
      </w:r>
      <w:r w:rsidR="002A4BEF">
        <w:t xml:space="preserve">ipment &amp; assistive technology </w:t>
      </w:r>
      <w:r w:rsidRPr="00EE106B">
        <w:t>(e.g. daily living</w:t>
      </w:r>
      <w:r w:rsidR="002A4BEF">
        <w:t xml:space="preserve"> aids, magnification devices, </w:t>
      </w:r>
      <w:r w:rsidRPr="00EE106B">
        <w:t>communication aids, GPS, computers)</w:t>
      </w:r>
    </w:p>
    <w:p w:rsidR="00F00786" w:rsidRPr="00EE106B" w:rsidRDefault="00F00786" w:rsidP="002A4BEF">
      <w:pPr>
        <w:pStyle w:val="ListParagraph"/>
        <w:numPr>
          <w:ilvl w:val="0"/>
          <w:numId w:val="29"/>
        </w:numPr>
      </w:pPr>
      <w:r w:rsidRPr="00EE106B">
        <w:t xml:space="preserve">community </w:t>
      </w:r>
      <w:r w:rsidR="002A4BEF">
        <w:t xml:space="preserve">awareness/community education </w:t>
      </w:r>
      <w:r w:rsidRPr="00EE106B">
        <w:t>(e.g. forums, workshops)</w:t>
      </w:r>
    </w:p>
    <w:p w:rsidR="00F00786" w:rsidRPr="00EE106B" w:rsidRDefault="00F00786" w:rsidP="002A4BEF">
      <w:pPr>
        <w:pStyle w:val="ListParagraph"/>
        <w:numPr>
          <w:ilvl w:val="0"/>
          <w:numId w:val="29"/>
        </w:numPr>
      </w:pPr>
      <w:r w:rsidRPr="00EE106B">
        <w:t>counselling</w:t>
      </w:r>
    </w:p>
    <w:p w:rsidR="00F00786" w:rsidRPr="00EE106B" w:rsidRDefault="00F00786" w:rsidP="002A4BEF">
      <w:pPr>
        <w:pStyle w:val="ListParagraph"/>
        <w:numPr>
          <w:ilvl w:val="0"/>
          <w:numId w:val="29"/>
        </w:numPr>
      </w:pPr>
      <w:r w:rsidRPr="00EE106B">
        <w:t>education support (e.g. in schools)</w:t>
      </w:r>
    </w:p>
    <w:p w:rsidR="00F00786" w:rsidRPr="00EE106B" w:rsidRDefault="00F00786" w:rsidP="002A4BEF">
      <w:pPr>
        <w:pStyle w:val="ListParagraph"/>
        <w:numPr>
          <w:ilvl w:val="0"/>
          <w:numId w:val="29"/>
        </w:numPr>
      </w:pPr>
      <w:r w:rsidRPr="00EE106B">
        <w:t>employment services</w:t>
      </w:r>
    </w:p>
    <w:p w:rsidR="00F00786" w:rsidRPr="00EE106B" w:rsidRDefault="00F00786" w:rsidP="002A4BEF">
      <w:pPr>
        <w:pStyle w:val="ListParagraph"/>
        <w:numPr>
          <w:ilvl w:val="0"/>
          <w:numId w:val="29"/>
        </w:numPr>
      </w:pPr>
      <w:r w:rsidRPr="00EE106B">
        <w:t>fundraising</w:t>
      </w:r>
    </w:p>
    <w:p w:rsidR="00F00786" w:rsidRPr="00EE106B" w:rsidRDefault="00F00786" w:rsidP="002A4BEF">
      <w:pPr>
        <w:pStyle w:val="ListParagraph"/>
        <w:numPr>
          <w:ilvl w:val="0"/>
          <w:numId w:val="29"/>
        </w:numPr>
      </w:pPr>
      <w:r w:rsidRPr="00EE106B">
        <w:t>guide dogs</w:t>
      </w:r>
    </w:p>
    <w:p w:rsidR="00F00786" w:rsidRPr="00EE106B" w:rsidRDefault="00F00786" w:rsidP="002A4BEF">
      <w:pPr>
        <w:pStyle w:val="ListParagraph"/>
        <w:numPr>
          <w:ilvl w:val="0"/>
          <w:numId w:val="29"/>
        </w:numPr>
      </w:pPr>
      <w:r w:rsidRPr="00EE106B">
        <w:t>information services</w:t>
      </w:r>
    </w:p>
    <w:p w:rsidR="00F00786" w:rsidRPr="00EE106B" w:rsidRDefault="00F00786" w:rsidP="002A4BEF">
      <w:pPr>
        <w:pStyle w:val="ListParagraph"/>
        <w:numPr>
          <w:ilvl w:val="0"/>
          <w:numId w:val="29"/>
        </w:numPr>
      </w:pPr>
      <w:r w:rsidRPr="00EE106B">
        <w:t>library services</w:t>
      </w:r>
    </w:p>
    <w:p w:rsidR="00F00786" w:rsidRPr="00EE106B" w:rsidRDefault="00F00786" w:rsidP="002A4BEF">
      <w:pPr>
        <w:pStyle w:val="ListParagraph"/>
        <w:numPr>
          <w:ilvl w:val="0"/>
          <w:numId w:val="29"/>
        </w:numPr>
      </w:pPr>
      <w:r w:rsidRPr="00EE106B">
        <w:t>material in alternative formats</w:t>
      </w:r>
    </w:p>
    <w:p w:rsidR="00F00786" w:rsidRPr="00EE106B" w:rsidRDefault="00F00786" w:rsidP="002A4BEF">
      <w:pPr>
        <w:pStyle w:val="ListParagraph"/>
        <w:numPr>
          <w:ilvl w:val="0"/>
          <w:numId w:val="29"/>
        </w:numPr>
      </w:pPr>
      <w:r w:rsidRPr="00EE106B">
        <w:t>ophthalmology services</w:t>
      </w:r>
    </w:p>
    <w:p w:rsidR="002A4BEF" w:rsidRDefault="00F00786" w:rsidP="002A4BEF">
      <w:pPr>
        <w:pStyle w:val="ListParagraph"/>
        <w:numPr>
          <w:ilvl w:val="0"/>
          <w:numId w:val="29"/>
        </w:numPr>
      </w:pPr>
      <w:r w:rsidRPr="00EE106B">
        <w:t>allied health cli</w:t>
      </w:r>
      <w:r w:rsidR="002A4BEF">
        <w:t xml:space="preserve">nicians (providing optometry, </w:t>
      </w:r>
      <w:r w:rsidRPr="00EE106B">
        <w:t>ortho</w:t>
      </w:r>
      <w:r w:rsidR="002A4BEF">
        <w:t>ptics and occupational therapy)</w:t>
      </w:r>
    </w:p>
    <w:p w:rsidR="00F00786" w:rsidRPr="00EE106B" w:rsidRDefault="00F00786" w:rsidP="002A4BEF">
      <w:pPr>
        <w:pStyle w:val="ListParagraph"/>
        <w:numPr>
          <w:ilvl w:val="0"/>
          <w:numId w:val="29"/>
        </w:numPr>
      </w:pPr>
      <w:r w:rsidRPr="00EE106B">
        <w:t>orientation and mobility training</w:t>
      </w:r>
    </w:p>
    <w:p w:rsidR="00F00786" w:rsidRPr="00EE106B" w:rsidRDefault="00F00786" w:rsidP="002A4BEF">
      <w:pPr>
        <w:pStyle w:val="ListParagraph"/>
        <w:numPr>
          <w:ilvl w:val="0"/>
          <w:numId w:val="29"/>
        </w:numPr>
      </w:pPr>
      <w:r w:rsidRPr="00EE106B">
        <w:t>recreation and leisure activities.</w:t>
      </w:r>
    </w:p>
    <w:p w:rsidR="00F00786" w:rsidRPr="00EE106B" w:rsidRDefault="00F00786" w:rsidP="00EE106B">
      <w:r w:rsidRPr="00EE106B">
        <w:t xml:space="preserve">Although fundraising was not listed as a service, related issues were included and results indicate that income from fundraising remains critical for most blindness sector organisations. </w:t>
      </w:r>
    </w:p>
    <w:p w:rsidR="000D0FA0" w:rsidRPr="00EE106B" w:rsidRDefault="00F00786" w:rsidP="00EE106B">
      <w:r w:rsidRPr="00EE106B">
        <w:t xml:space="preserve">Additional services cited by providers included professional development for optometrists; correction of refractive error, patient support, </w:t>
      </w:r>
      <w:r w:rsidRPr="00EE106B">
        <w:br/>
        <w:t xml:space="preserve">peer support, speech pathology, occupational therapy, early intervention support, toy library </w:t>
      </w:r>
      <w:r w:rsidRPr="00EE106B">
        <w:br/>
        <w:t>and playgroups</w:t>
      </w:r>
      <w:r w:rsidR="002A4BEF">
        <w:rPr>
          <w:rStyle w:val="FootnoteReference"/>
        </w:rPr>
        <w:footnoteReference w:id="11"/>
      </w:r>
      <w:r w:rsidRPr="00EE106B">
        <w:t>.</w:t>
      </w:r>
    </w:p>
    <w:p w:rsidR="0072099E" w:rsidRPr="00EE106B" w:rsidRDefault="00F00786" w:rsidP="000C3190">
      <w:pPr>
        <w:pStyle w:val="Heading2"/>
      </w:pPr>
      <w:bookmarkStart w:id="42" w:name="_Toc428361013"/>
      <w:bookmarkStart w:id="43" w:name="_Toc428362754"/>
      <w:r w:rsidRPr="00EE106B">
        <w:t>Results</w:t>
      </w:r>
      <w:bookmarkEnd w:id="42"/>
      <w:bookmarkEnd w:id="43"/>
    </w:p>
    <w:p w:rsidR="00F00786" w:rsidRPr="00EE106B" w:rsidRDefault="00F00786" w:rsidP="00D8375F">
      <w:pPr>
        <w:pStyle w:val="Heading3"/>
      </w:pPr>
      <w:bookmarkStart w:id="44" w:name="_Toc428361014"/>
      <w:bookmarkStart w:id="45" w:name="_Toc428362755"/>
      <w:r w:rsidRPr="00EE106B">
        <w:t>Organisational respondent profile</w:t>
      </w:r>
      <w:bookmarkEnd w:id="44"/>
      <w:bookmarkEnd w:id="45"/>
    </w:p>
    <w:p w:rsidR="00F00786" w:rsidRPr="00EE106B" w:rsidRDefault="00F00786" w:rsidP="00EE106B">
      <w:r w:rsidRPr="00EE106B">
        <w:t>Almost half (48 per cent) of respondents identified their primary purpose as being a service provider, advocacy or advisory</w:t>
      </w:r>
      <w:r w:rsidR="00D8375F">
        <w:t xml:space="preserve"> agency (21 per cent), aids and </w:t>
      </w:r>
      <w:r w:rsidRPr="00EE106B">
        <w:t>equipment supplier (seven per cent), health service (seven per cent), consumer group (sev</w:t>
      </w:r>
      <w:r w:rsidR="00D8375F">
        <w:t xml:space="preserve">en per cent) or research agency </w:t>
      </w:r>
      <w:r w:rsidRPr="00EE106B">
        <w:t>(seven per cent).</w:t>
      </w:r>
    </w:p>
    <w:p w:rsidR="00F00786" w:rsidRPr="00EE106B" w:rsidRDefault="00F00786" w:rsidP="00EE106B">
      <w:r w:rsidRPr="00EE106B">
        <w:lastRenderedPageBreak/>
        <w:t xml:space="preserve">Organisations were classified by the number of their unique client numbers as small (0 to 500), medium (501 to 1,500 unique clients) or large (1,501 or more unique clients). </w:t>
      </w:r>
    </w:p>
    <w:p w:rsidR="00F00786" w:rsidRPr="00EE106B" w:rsidRDefault="00F00786" w:rsidP="00EE106B">
      <w:r w:rsidRPr="00EE106B">
        <w:t>The results show that 80 per cent of large organisations are service providers. Around one-fifth (21 per cent) of all responding organisations are advocacy and advisory services with the larger proportion of these being small organisations. As a group, organisations th</w:t>
      </w:r>
      <w:r w:rsidR="00D8375F">
        <w:t xml:space="preserve">at were large </w:t>
      </w:r>
      <w:r w:rsidRPr="00EE106B">
        <w:t>spanned all service types. Small and medium sized organisations did not typically span across all service types.</w:t>
      </w:r>
    </w:p>
    <w:p w:rsidR="00F00786" w:rsidRPr="00EE106B" w:rsidRDefault="00F00786" w:rsidP="00EE106B">
      <w:r w:rsidRPr="00EE106B">
        <w:t>Overall, 62 per cent of respondents dealt exclusively with blindness, low vision and/or rehabilitation services.</w:t>
      </w:r>
    </w:p>
    <w:p w:rsidR="00F00786" w:rsidRPr="00EE106B" w:rsidRDefault="00F00786" w:rsidP="00EE106B">
      <w:r w:rsidRPr="00EE106B">
        <w:t>Meanwhile, 38 per cent of organisations provide other services in addition to blindness, low vision and rehabilitation services, including:</w:t>
      </w:r>
    </w:p>
    <w:p w:rsidR="00F00786" w:rsidRPr="00EE106B" w:rsidRDefault="00F00786" w:rsidP="00D8375F">
      <w:pPr>
        <w:pStyle w:val="ListParagraph"/>
        <w:numPr>
          <w:ilvl w:val="0"/>
          <w:numId w:val="30"/>
        </w:numPr>
      </w:pPr>
      <w:r w:rsidRPr="00EE106B">
        <w:t xml:space="preserve">case management </w:t>
      </w:r>
      <w:r w:rsidR="00D8375F">
        <w:t xml:space="preserve">for clients with sensory loss </w:t>
      </w:r>
      <w:r w:rsidRPr="00EE106B">
        <w:t>(vision and hearing)</w:t>
      </w:r>
    </w:p>
    <w:p w:rsidR="00F00786" w:rsidRPr="00EE106B" w:rsidRDefault="00F00786" w:rsidP="00D8375F">
      <w:pPr>
        <w:pStyle w:val="ListParagraph"/>
        <w:numPr>
          <w:ilvl w:val="0"/>
          <w:numId w:val="30"/>
        </w:numPr>
      </w:pPr>
      <w:r w:rsidRPr="00EE106B">
        <w:t>deaf and hearing impairment services</w:t>
      </w:r>
    </w:p>
    <w:p w:rsidR="00F00786" w:rsidRPr="00EE106B" w:rsidRDefault="00F00786" w:rsidP="00D8375F">
      <w:pPr>
        <w:pStyle w:val="ListParagraph"/>
        <w:numPr>
          <w:ilvl w:val="0"/>
          <w:numId w:val="30"/>
        </w:numPr>
      </w:pPr>
      <w:r w:rsidRPr="00EE106B">
        <w:t>education</w:t>
      </w:r>
    </w:p>
    <w:p w:rsidR="00F00786" w:rsidRPr="00EE106B" w:rsidRDefault="00F00786" w:rsidP="00D8375F">
      <w:pPr>
        <w:pStyle w:val="ListParagraph"/>
        <w:numPr>
          <w:ilvl w:val="0"/>
          <w:numId w:val="30"/>
        </w:numPr>
      </w:pPr>
      <w:r w:rsidRPr="00EE106B">
        <w:t>educatio</w:t>
      </w:r>
      <w:r w:rsidR="00D8375F">
        <w:t xml:space="preserve">n and community awareness </w:t>
      </w:r>
      <w:r w:rsidRPr="00EE106B">
        <w:t>(e.g. falls prevention)</w:t>
      </w:r>
    </w:p>
    <w:p w:rsidR="00F00786" w:rsidRPr="00EE106B" w:rsidRDefault="00F00786" w:rsidP="00D8375F">
      <w:pPr>
        <w:pStyle w:val="ListParagraph"/>
        <w:numPr>
          <w:ilvl w:val="0"/>
          <w:numId w:val="30"/>
        </w:numPr>
      </w:pPr>
      <w:r w:rsidRPr="00EE106B">
        <w:t>registration</w:t>
      </w:r>
    </w:p>
    <w:p w:rsidR="00F00786" w:rsidRPr="00EE106B" w:rsidRDefault="00F00786" w:rsidP="00D8375F">
      <w:pPr>
        <w:pStyle w:val="ListParagraph"/>
        <w:numPr>
          <w:ilvl w:val="0"/>
          <w:numId w:val="30"/>
        </w:numPr>
      </w:pPr>
      <w:r w:rsidRPr="00EE106B">
        <w:t>training.</w:t>
      </w:r>
    </w:p>
    <w:p w:rsidR="00F00786" w:rsidRPr="00EE106B" w:rsidRDefault="00F00786" w:rsidP="00EE106B">
      <w:r w:rsidRPr="00EE106B">
        <w:t xml:space="preserve">Only one respondent provided services predominantly to Aboriginal and/or Torres Strait Islander people. </w:t>
      </w:r>
    </w:p>
    <w:p w:rsidR="00F00786" w:rsidRPr="00EE106B" w:rsidRDefault="00F00786" w:rsidP="00D8375F">
      <w:pPr>
        <w:pStyle w:val="Heading3"/>
      </w:pPr>
      <w:bookmarkStart w:id="46" w:name="_Toc428361015"/>
      <w:bookmarkStart w:id="47" w:name="_Toc428362756"/>
      <w:r w:rsidRPr="00EE106B">
        <w:t>The majority (60 per cent) of blindness and low vision clients are aged 65 years or older</w:t>
      </w:r>
      <w:bookmarkEnd w:id="46"/>
      <w:bookmarkEnd w:id="47"/>
    </w:p>
    <w:p w:rsidR="00F00786" w:rsidRPr="00EE106B" w:rsidRDefault="00F00786" w:rsidP="00EE106B">
      <w:r w:rsidRPr="00EE106B">
        <w:t>Examining the total age distribution of the responding organisations, 60 per cent of their clients were aged 65 years and over, 28 per cent were aged 19 to 64 years and just 11 per cent of their clients were 0 to 18 years.</w:t>
      </w:r>
    </w:p>
    <w:p w:rsidR="00F00786" w:rsidRPr="00EE106B" w:rsidRDefault="00F00786" w:rsidP="00EE106B">
      <w:r w:rsidRPr="00EE106B">
        <w:t xml:space="preserve">The focus on the 65 years and over age group for blindness, low vision and rehabilitation services reflects the ageing Australian population. The blindness and low vision sector has been raising service provision issues associated with this anticipated trend in recent years. The results confirm the clear link between the occurrence of vision impairment and vision loss </w:t>
      </w:r>
      <w:r w:rsidR="00D8375F">
        <w:t xml:space="preserve">amongst the </w:t>
      </w:r>
      <w:r w:rsidRPr="00EE106B">
        <w:t xml:space="preserve">over 65 age group and the results relating to service pressures and known but unmet demand is reported elsewhere.  </w:t>
      </w:r>
    </w:p>
    <w:p w:rsidR="00F00786" w:rsidRPr="00EE106B" w:rsidRDefault="00F00786" w:rsidP="00EE106B">
      <w:r w:rsidRPr="00EE106B">
        <w:t>All age groups have optometry and aids, equipment and assistive technology in the top three services, suggesting optometry services and access to supportive equipment and technology are essential across all age ranges, while recognising that optometry services are used as a pathway to the sector generally not as ongoing support for clients.</w:t>
      </w:r>
    </w:p>
    <w:p w:rsidR="00F00786" w:rsidRPr="00D8375F" w:rsidRDefault="00F00786" w:rsidP="00EE106B">
      <w:pPr>
        <w:rPr>
          <w:b/>
        </w:rPr>
      </w:pPr>
      <w:r w:rsidRPr="00D8375F">
        <w:rPr>
          <w:b/>
        </w:rPr>
        <w:t>A quote from one respondent:</w:t>
      </w:r>
    </w:p>
    <w:p w:rsidR="00F00786" w:rsidRPr="00EE106B" w:rsidRDefault="00F00786" w:rsidP="00EE106B">
      <w:r w:rsidRPr="00EE106B">
        <w:lastRenderedPageBreak/>
        <w:t>“While 70</w:t>
      </w:r>
      <w:r w:rsidR="00D8375F">
        <w:t xml:space="preserve"> per cent of the population to </w:t>
      </w:r>
      <w:r w:rsidRPr="00EE106B">
        <w:t>whom we provide services is aged over 65 years old, less than five per cent of our total revenue is derived through aged care programs. The lack of recognition and support from successive governments to address blindness as a key national issue for seniors remains a significant concern.”</w:t>
      </w:r>
    </w:p>
    <w:p w:rsidR="00F00786" w:rsidRPr="00EE106B" w:rsidRDefault="00F00786" w:rsidP="00D8375F">
      <w:pPr>
        <w:pStyle w:val="Heading3"/>
      </w:pPr>
      <w:bookmarkStart w:id="48" w:name="_Toc428361016"/>
      <w:bookmarkStart w:id="49" w:name="_Toc428362757"/>
      <w:r w:rsidRPr="00EE106B">
        <w:t>Nearly 100,000 unique clients accessed blindness or low vision services in 2013</w:t>
      </w:r>
      <w:bookmarkEnd w:id="48"/>
      <w:bookmarkEnd w:id="49"/>
    </w:p>
    <w:p w:rsidR="00F00786" w:rsidRPr="00EE106B" w:rsidRDefault="00F00786" w:rsidP="00EE106B">
      <w:r w:rsidRPr="00EE106B">
        <w:t>The total num</w:t>
      </w:r>
      <w:r w:rsidR="00D8375F">
        <w:t>ber of unique clients</w:t>
      </w:r>
      <w:r w:rsidR="00D8375F">
        <w:rPr>
          <w:rStyle w:val="FootnoteReference"/>
        </w:rPr>
        <w:footnoteReference w:id="12"/>
      </w:r>
      <w:r w:rsidRPr="00EE106B">
        <w:t xml:space="preserve"> who received services in 2013 from responding organisations was 90,203, with organisations having a range of bet</w:t>
      </w:r>
      <w:r w:rsidR="00D8375F">
        <w:t>ween 29,000 and 38,422 clients</w:t>
      </w:r>
      <w:r w:rsidR="00D8375F">
        <w:rPr>
          <w:rStyle w:val="FootnoteReference"/>
        </w:rPr>
        <w:footnoteReference w:id="13"/>
      </w:r>
      <w:r w:rsidRPr="00EE106B">
        <w:t>. Of the total clientele, two per cent identified as Aboriginal or Torres Strait Islander.</w:t>
      </w:r>
    </w:p>
    <w:p w:rsidR="00F00786" w:rsidRPr="00EE106B" w:rsidRDefault="00F00786" w:rsidP="00EE106B">
      <w:r w:rsidRPr="00EE106B">
        <w:t xml:space="preserve">The total </w:t>
      </w:r>
      <w:r w:rsidR="00D8375F">
        <w:t>number of client presentations</w:t>
      </w:r>
      <w:r w:rsidR="00D8375F">
        <w:rPr>
          <w:rStyle w:val="FootnoteReference"/>
        </w:rPr>
        <w:footnoteReference w:id="14"/>
      </w:r>
      <w:r w:rsidRPr="00EE106B">
        <w:t xml:space="preserve"> in 2013 was 365,364 with a range of between 40 presentations – 258,615 presentations. </w:t>
      </w:r>
    </w:p>
    <w:p w:rsidR="00F00786" w:rsidRPr="00EE106B" w:rsidRDefault="00F00786" w:rsidP="00EE106B">
      <w:r w:rsidRPr="00EE106B">
        <w:t>The most utilised service was optometry services, with around half of the total number of unique clients accessing this service (45,910 clients) which equates to approximately one hour per client. Library services (19,955 clients), aids, equipment and assistive technology (16,479 clients) and information services (12,092 clients) were some of the other most utilised services.</w:t>
      </w:r>
    </w:p>
    <w:p w:rsidR="00F00786" w:rsidRPr="00EE106B" w:rsidRDefault="00F00786" w:rsidP="00D8375F">
      <w:pPr>
        <w:pStyle w:val="Heading3"/>
      </w:pPr>
      <w:bookmarkStart w:id="50" w:name="_Toc428361017"/>
      <w:bookmarkStart w:id="51" w:name="_Toc428362758"/>
      <w:r w:rsidRPr="00EE106B">
        <w:t>Numbers of clients and service hours</w:t>
      </w:r>
      <w:bookmarkEnd w:id="50"/>
      <w:bookmarkEnd w:id="51"/>
    </w:p>
    <w:p w:rsidR="00F00786" w:rsidRPr="00EE106B" w:rsidRDefault="00F00786" w:rsidP="00EE106B">
      <w:r w:rsidRPr="00EE106B">
        <w:t>A total of 580,195 service hours were delivered by respondent organisations, which equates to almost seven hours per unique client and almost two hours per client presentation for the 2013 year. Around one-fifth of service hours were for the provision of recreational and leisure activities (119,122 hours), followed by orientation and mobility training (84,632 hours), the provision of guide dogs (58,955 hours), optometry services (39,484 hours) and education support (38,194 hours).</w:t>
      </w:r>
    </w:p>
    <w:p w:rsidR="00F00786" w:rsidRPr="00EE106B" w:rsidRDefault="00F00786" w:rsidP="00D8375F">
      <w:pPr>
        <w:pStyle w:val="Heading3"/>
      </w:pPr>
      <w:bookmarkStart w:id="52" w:name="_Toc428361018"/>
      <w:bookmarkStart w:id="53" w:name="_Toc428362759"/>
      <w:r w:rsidRPr="00EE106B">
        <w:t>A diverse and highly skilled workforce</w:t>
      </w:r>
      <w:bookmarkEnd w:id="52"/>
      <w:bookmarkEnd w:id="53"/>
      <w:r w:rsidRPr="00EE106B">
        <w:t xml:space="preserve"> </w:t>
      </w:r>
    </w:p>
    <w:p w:rsidR="00F00786" w:rsidRPr="00EE106B" w:rsidRDefault="00F00786" w:rsidP="00EE106B">
      <w:r w:rsidRPr="00EE106B">
        <w:t xml:space="preserve">The sector is highly reliant on staff with specialist skills, particularly in allied health roles. 1,505 Full Time Equivalent (FTE) staff made up the employed workforce, with 890 (59 per cent) health/allied health professionals and 615 (41 per cent) non-health/allied health staff. </w:t>
      </w:r>
    </w:p>
    <w:p w:rsidR="00F00786" w:rsidRPr="00EE106B" w:rsidRDefault="00F00786" w:rsidP="00EE106B">
      <w:r w:rsidRPr="00D8375F">
        <w:rPr>
          <w:b/>
        </w:rPr>
        <w:t>Table 1</w:t>
      </w:r>
      <w:r w:rsidRPr="00EE106B">
        <w:t xml:space="preserve"> on the next page demonstrates the variety of health and allied health positions that are employed within responding organisations. Organisations reported that their staff included </w:t>
      </w:r>
      <w:r w:rsidRPr="00EE106B">
        <w:lastRenderedPageBreak/>
        <w:t>orientation and mobility specialists (37 per cent had this role), assistive technology consultants (33 per cent), optometrists (30 per cent) and orthoptists (30 per cent). Only seven per cent of organisations reported that they had an employment consultant. Guide dog instructors were not included in this list, but three organisations indicated in the section ‘Other – please specify’ that they employed Guide Dog Mobility Specialists.</w:t>
      </w:r>
    </w:p>
    <w:p w:rsidR="00F00786" w:rsidRPr="00EE106B" w:rsidRDefault="00F00786" w:rsidP="00EE106B">
      <w:r w:rsidRPr="00EE106B">
        <w:t xml:space="preserve">Half of responding organisations that recruited in 2013 reported difficulty finding suitably qualified applicants, with orientation and mobility specialists, guide dog instructors, orthoptists, assistive technology consultants and optical dispensers (remote location) being cited as difficult to recruit. </w:t>
      </w:r>
    </w:p>
    <w:p w:rsidR="00F00786" w:rsidRPr="00EE106B" w:rsidRDefault="00F00786" w:rsidP="00EE106B">
      <w:r w:rsidRPr="00EE106B">
        <w:t>The data suggests the sector is experiencing shortages in workers with specialist skills and that this is an impediment to service growth to meet increa</w:t>
      </w:r>
      <w:r w:rsidR="00D8375F">
        <w:t xml:space="preserve">sing demand. Most organisations </w:t>
      </w:r>
      <w:r w:rsidRPr="00EE106B">
        <w:t>attempted to recruit new staff in 2013.</w:t>
      </w:r>
    </w:p>
    <w:p w:rsidR="00F00786" w:rsidRPr="00EE106B" w:rsidRDefault="00F00786" w:rsidP="00EE106B">
      <w:r w:rsidRPr="00EE106B">
        <w:t>Larger organisations were more likely to have r</w:t>
      </w:r>
      <w:r w:rsidR="00D8375F">
        <w:t xml:space="preserve">ecruited </w:t>
      </w:r>
      <w:r w:rsidRPr="00EE106B">
        <w:t>during the year, but si</w:t>
      </w:r>
      <w:r w:rsidR="00D8375F">
        <w:t xml:space="preserve">ze of organisation did not have </w:t>
      </w:r>
      <w:r w:rsidRPr="00EE106B">
        <w:t>an effect on whether or not the organisation had diffi</w:t>
      </w:r>
      <w:r w:rsidR="00D8375F">
        <w:t xml:space="preserve">culty recruiting, i.e. the data </w:t>
      </w:r>
      <w:r w:rsidRPr="00EE106B">
        <w:t>suggests skills acquisition is a common problem across the sector.</w:t>
      </w:r>
    </w:p>
    <w:p w:rsidR="00F00786" w:rsidRPr="00265F30" w:rsidRDefault="00F00786" w:rsidP="00265F30">
      <w:pPr>
        <w:rPr>
          <w:b/>
        </w:rPr>
      </w:pPr>
      <w:r w:rsidRPr="00D520F1">
        <w:rPr>
          <w:b/>
        </w:rPr>
        <w:t>Table 1: Health &amp; allied health roles within organisations who deliver blindness, low v</w:t>
      </w:r>
      <w:r w:rsidR="00265F30">
        <w:rPr>
          <w:b/>
        </w:rPr>
        <w:t>ision &amp; rehabilitation services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88"/>
        <w:gridCol w:w="1932"/>
      </w:tblGrid>
      <w:tr w:rsidR="00F00786" w:rsidRPr="000E20CE" w:rsidTr="000E20CE">
        <w:trPr>
          <w:tblHeader/>
          <w:jc w:val="center"/>
        </w:trPr>
        <w:tc>
          <w:tcPr>
            <w:tcW w:w="4073" w:type="pct"/>
            <w:shd w:val="clear" w:color="auto" w:fill="auto"/>
          </w:tcPr>
          <w:p w:rsidR="00F00786" w:rsidRPr="000E20CE" w:rsidRDefault="00F00786" w:rsidP="00F00786">
            <w:pPr>
              <w:rPr>
                <w:rFonts w:eastAsia="Calibri"/>
                <w:b/>
                <w:bCs/>
                <w:szCs w:val="24"/>
              </w:rPr>
            </w:pPr>
            <w:bookmarkStart w:id="54" w:name="ColumnTitle" w:colFirst="0" w:colLast="1"/>
            <w:r w:rsidRPr="000E20CE">
              <w:rPr>
                <w:rFonts w:eastAsia="Calibri"/>
                <w:b/>
                <w:bCs/>
                <w:szCs w:val="24"/>
              </w:rPr>
              <w:t>Health or allied health roles</w:t>
            </w:r>
          </w:p>
        </w:tc>
        <w:tc>
          <w:tcPr>
            <w:tcW w:w="927" w:type="pct"/>
            <w:shd w:val="clear" w:color="auto" w:fill="auto"/>
          </w:tcPr>
          <w:p w:rsidR="00F00786" w:rsidRPr="000E20CE" w:rsidRDefault="00F00786" w:rsidP="00F00786">
            <w:pPr>
              <w:jc w:val="center"/>
              <w:rPr>
                <w:rFonts w:eastAsia="Calibri"/>
                <w:b/>
                <w:szCs w:val="24"/>
              </w:rPr>
            </w:pPr>
            <w:r w:rsidRPr="000E20CE">
              <w:rPr>
                <w:rFonts w:eastAsia="Calibri"/>
                <w:b/>
                <w:szCs w:val="24"/>
              </w:rPr>
              <w:t>%</w:t>
            </w:r>
          </w:p>
        </w:tc>
      </w:tr>
      <w:bookmarkEnd w:id="54"/>
      <w:tr w:rsidR="00F00786" w:rsidRPr="000E20CE" w:rsidTr="00F00786">
        <w:trPr>
          <w:jc w:val="center"/>
        </w:trPr>
        <w:tc>
          <w:tcPr>
            <w:tcW w:w="4073" w:type="pct"/>
            <w:shd w:val="clear" w:color="auto" w:fill="auto"/>
          </w:tcPr>
          <w:p w:rsidR="00F00786" w:rsidRPr="000E20CE" w:rsidRDefault="00F00786" w:rsidP="00F00786">
            <w:pPr>
              <w:rPr>
                <w:rStyle w:val="Answertextfont"/>
                <w:rFonts w:eastAsia="Calibri"/>
                <w:sz w:val="24"/>
                <w:szCs w:val="24"/>
              </w:rPr>
            </w:pPr>
            <w:r w:rsidRPr="000E20CE">
              <w:rPr>
                <w:rStyle w:val="Answertextfont"/>
                <w:rFonts w:eastAsia="Calibri"/>
                <w:sz w:val="24"/>
                <w:szCs w:val="24"/>
              </w:rPr>
              <w:t>Assistive Technology Consultant</w:t>
            </w:r>
            <w:r w:rsidRPr="000E20CE">
              <w:rPr>
                <w:rStyle w:val="Answertextfont"/>
                <w:rFonts w:eastAsia="Calibri"/>
                <w:sz w:val="24"/>
                <w:szCs w:val="24"/>
              </w:rPr>
              <w:tab/>
            </w:r>
          </w:p>
        </w:tc>
        <w:tc>
          <w:tcPr>
            <w:tcW w:w="927" w:type="pct"/>
            <w:shd w:val="clear" w:color="auto" w:fill="auto"/>
          </w:tcPr>
          <w:p w:rsidR="00F00786" w:rsidRPr="000E20CE" w:rsidRDefault="00F00786" w:rsidP="00F00786">
            <w:pPr>
              <w:jc w:val="center"/>
              <w:rPr>
                <w:rFonts w:eastAsia="Calibri"/>
                <w:szCs w:val="24"/>
              </w:rPr>
            </w:pPr>
            <w:r w:rsidRPr="000E20CE">
              <w:rPr>
                <w:rFonts w:eastAsia="Calibri"/>
                <w:szCs w:val="24"/>
              </w:rPr>
              <w:t>33</w:t>
            </w:r>
          </w:p>
        </w:tc>
      </w:tr>
      <w:tr w:rsidR="00F00786" w:rsidRPr="000E20CE" w:rsidTr="00F00786">
        <w:trPr>
          <w:jc w:val="center"/>
        </w:trPr>
        <w:tc>
          <w:tcPr>
            <w:tcW w:w="4073" w:type="pct"/>
            <w:shd w:val="clear" w:color="auto" w:fill="auto"/>
          </w:tcPr>
          <w:p w:rsidR="00F00786" w:rsidRPr="000E20CE" w:rsidRDefault="00F00786" w:rsidP="00F00786">
            <w:pPr>
              <w:rPr>
                <w:rFonts w:eastAsia="Calibri"/>
                <w:szCs w:val="24"/>
              </w:rPr>
            </w:pPr>
            <w:r w:rsidRPr="000E20CE">
              <w:rPr>
                <w:rStyle w:val="Answertextfont"/>
                <w:rFonts w:eastAsia="Calibri"/>
                <w:sz w:val="24"/>
                <w:szCs w:val="24"/>
              </w:rPr>
              <w:t>Counsellor</w:t>
            </w:r>
          </w:p>
        </w:tc>
        <w:tc>
          <w:tcPr>
            <w:tcW w:w="927" w:type="pct"/>
            <w:shd w:val="clear" w:color="auto" w:fill="auto"/>
          </w:tcPr>
          <w:p w:rsidR="00F00786" w:rsidRPr="000E20CE" w:rsidRDefault="00F00786" w:rsidP="00F00786">
            <w:pPr>
              <w:jc w:val="center"/>
              <w:rPr>
                <w:rFonts w:eastAsia="Calibri"/>
                <w:szCs w:val="24"/>
              </w:rPr>
            </w:pPr>
            <w:r w:rsidRPr="000E20CE">
              <w:rPr>
                <w:rFonts w:eastAsia="Calibri"/>
                <w:szCs w:val="24"/>
              </w:rPr>
              <w:t>15</w:t>
            </w:r>
          </w:p>
        </w:tc>
      </w:tr>
      <w:tr w:rsidR="00F00786" w:rsidRPr="000E20CE" w:rsidTr="00F00786">
        <w:trPr>
          <w:jc w:val="center"/>
        </w:trPr>
        <w:tc>
          <w:tcPr>
            <w:tcW w:w="4073" w:type="pct"/>
            <w:shd w:val="clear" w:color="auto" w:fill="auto"/>
          </w:tcPr>
          <w:p w:rsidR="00F00786" w:rsidRPr="000E20CE" w:rsidRDefault="00F00786" w:rsidP="00F00786">
            <w:pPr>
              <w:rPr>
                <w:rStyle w:val="Answertextfont"/>
                <w:rFonts w:eastAsia="Calibri"/>
                <w:sz w:val="24"/>
                <w:szCs w:val="24"/>
              </w:rPr>
            </w:pPr>
            <w:r w:rsidRPr="000E20CE">
              <w:rPr>
                <w:rStyle w:val="Answertextfont"/>
                <w:rFonts w:eastAsia="Calibri"/>
                <w:sz w:val="24"/>
                <w:szCs w:val="24"/>
              </w:rPr>
              <w:t>Employment Consultant</w:t>
            </w:r>
          </w:p>
        </w:tc>
        <w:tc>
          <w:tcPr>
            <w:tcW w:w="927" w:type="pct"/>
            <w:shd w:val="clear" w:color="auto" w:fill="auto"/>
          </w:tcPr>
          <w:p w:rsidR="00F00786" w:rsidRPr="000E20CE" w:rsidRDefault="00F00786" w:rsidP="00F00786">
            <w:pPr>
              <w:jc w:val="center"/>
              <w:rPr>
                <w:rFonts w:eastAsia="Calibri"/>
                <w:szCs w:val="24"/>
              </w:rPr>
            </w:pPr>
            <w:r w:rsidRPr="000E20CE">
              <w:rPr>
                <w:rFonts w:eastAsia="Calibri"/>
                <w:szCs w:val="24"/>
              </w:rPr>
              <w:t>7</w:t>
            </w:r>
          </w:p>
        </w:tc>
      </w:tr>
      <w:tr w:rsidR="00F00786" w:rsidRPr="000E20CE" w:rsidTr="00F00786">
        <w:trPr>
          <w:jc w:val="center"/>
        </w:trPr>
        <w:tc>
          <w:tcPr>
            <w:tcW w:w="4073" w:type="pct"/>
            <w:shd w:val="clear" w:color="auto" w:fill="auto"/>
          </w:tcPr>
          <w:p w:rsidR="00F00786" w:rsidRPr="000E20CE" w:rsidRDefault="00F00786" w:rsidP="00F00786">
            <w:pPr>
              <w:rPr>
                <w:rStyle w:val="Answertextfont"/>
                <w:rFonts w:eastAsia="Calibri"/>
                <w:sz w:val="24"/>
                <w:szCs w:val="24"/>
              </w:rPr>
            </w:pPr>
            <w:r w:rsidRPr="000E20CE">
              <w:rPr>
                <w:rStyle w:val="Answertextfont"/>
                <w:rFonts w:eastAsia="Calibri"/>
                <w:sz w:val="24"/>
                <w:szCs w:val="24"/>
              </w:rPr>
              <w:t>No health or allied health staff</w:t>
            </w:r>
          </w:p>
        </w:tc>
        <w:tc>
          <w:tcPr>
            <w:tcW w:w="927" w:type="pct"/>
            <w:shd w:val="clear" w:color="auto" w:fill="auto"/>
          </w:tcPr>
          <w:p w:rsidR="00F00786" w:rsidRPr="000E20CE" w:rsidRDefault="00F00786" w:rsidP="00F00786">
            <w:pPr>
              <w:jc w:val="center"/>
              <w:rPr>
                <w:rFonts w:eastAsia="Calibri"/>
                <w:szCs w:val="24"/>
              </w:rPr>
            </w:pPr>
            <w:r w:rsidRPr="000E20CE">
              <w:rPr>
                <w:rFonts w:eastAsia="Calibri"/>
                <w:szCs w:val="24"/>
              </w:rPr>
              <w:t>19</w:t>
            </w:r>
          </w:p>
        </w:tc>
      </w:tr>
      <w:tr w:rsidR="00F00786" w:rsidRPr="000E20CE" w:rsidTr="00F00786">
        <w:trPr>
          <w:jc w:val="center"/>
        </w:trPr>
        <w:tc>
          <w:tcPr>
            <w:tcW w:w="4073" w:type="pct"/>
            <w:shd w:val="clear" w:color="auto" w:fill="auto"/>
          </w:tcPr>
          <w:p w:rsidR="00F00786" w:rsidRPr="000E20CE" w:rsidRDefault="00F00786" w:rsidP="00F00786">
            <w:pPr>
              <w:rPr>
                <w:rFonts w:eastAsia="Calibri"/>
                <w:szCs w:val="24"/>
              </w:rPr>
            </w:pPr>
            <w:r w:rsidRPr="000E20CE">
              <w:rPr>
                <w:rStyle w:val="Answertextfont"/>
                <w:rFonts w:eastAsia="Calibri"/>
                <w:sz w:val="24"/>
                <w:szCs w:val="24"/>
              </w:rPr>
              <w:t>Occupational therapist</w:t>
            </w:r>
          </w:p>
        </w:tc>
        <w:tc>
          <w:tcPr>
            <w:tcW w:w="927" w:type="pct"/>
            <w:shd w:val="clear" w:color="auto" w:fill="auto"/>
          </w:tcPr>
          <w:p w:rsidR="00F00786" w:rsidRPr="000E20CE" w:rsidRDefault="00F00786" w:rsidP="00F00786">
            <w:pPr>
              <w:jc w:val="center"/>
              <w:rPr>
                <w:rFonts w:eastAsia="Calibri"/>
                <w:szCs w:val="24"/>
              </w:rPr>
            </w:pPr>
            <w:r w:rsidRPr="000E20CE">
              <w:rPr>
                <w:rFonts w:eastAsia="Calibri"/>
                <w:szCs w:val="24"/>
              </w:rPr>
              <w:t>26</w:t>
            </w:r>
          </w:p>
        </w:tc>
      </w:tr>
      <w:tr w:rsidR="00F00786" w:rsidRPr="000E20CE" w:rsidTr="00F00786">
        <w:trPr>
          <w:jc w:val="center"/>
        </w:trPr>
        <w:tc>
          <w:tcPr>
            <w:tcW w:w="4073" w:type="pct"/>
            <w:shd w:val="clear" w:color="auto" w:fill="auto"/>
          </w:tcPr>
          <w:p w:rsidR="00F00786" w:rsidRPr="000E20CE" w:rsidRDefault="00F00786" w:rsidP="00F00786">
            <w:pPr>
              <w:rPr>
                <w:rFonts w:eastAsia="Calibri"/>
                <w:szCs w:val="24"/>
              </w:rPr>
            </w:pPr>
            <w:r w:rsidRPr="000E20CE">
              <w:rPr>
                <w:rStyle w:val="Answertextfont"/>
                <w:rFonts w:eastAsia="Calibri"/>
                <w:sz w:val="24"/>
                <w:szCs w:val="24"/>
              </w:rPr>
              <w:t>Ophthalmologist</w:t>
            </w:r>
          </w:p>
        </w:tc>
        <w:tc>
          <w:tcPr>
            <w:tcW w:w="927" w:type="pct"/>
            <w:shd w:val="clear" w:color="auto" w:fill="auto"/>
          </w:tcPr>
          <w:p w:rsidR="00F00786" w:rsidRPr="000E20CE" w:rsidRDefault="00F00786" w:rsidP="00F00786">
            <w:pPr>
              <w:jc w:val="center"/>
              <w:rPr>
                <w:rFonts w:eastAsia="Calibri"/>
                <w:szCs w:val="24"/>
              </w:rPr>
            </w:pPr>
            <w:r w:rsidRPr="000E20CE">
              <w:rPr>
                <w:rFonts w:eastAsia="Calibri"/>
                <w:szCs w:val="24"/>
              </w:rPr>
              <w:t>7</w:t>
            </w:r>
          </w:p>
        </w:tc>
      </w:tr>
      <w:tr w:rsidR="00F00786" w:rsidRPr="000E20CE" w:rsidTr="00F00786">
        <w:trPr>
          <w:jc w:val="center"/>
        </w:trPr>
        <w:tc>
          <w:tcPr>
            <w:tcW w:w="4073" w:type="pct"/>
            <w:shd w:val="clear" w:color="auto" w:fill="auto"/>
          </w:tcPr>
          <w:p w:rsidR="00F00786" w:rsidRPr="000E20CE" w:rsidRDefault="00F00786" w:rsidP="00F00786">
            <w:pPr>
              <w:rPr>
                <w:rFonts w:eastAsia="Calibri"/>
                <w:szCs w:val="24"/>
              </w:rPr>
            </w:pPr>
            <w:r w:rsidRPr="000E20CE">
              <w:rPr>
                <w:rStyle w:val="Answertextfont"/>
                <w:rFonts w:eastAsia="Calibri"/>
                <w:sz w:val="24"/>
                <w:szCs w:val="24"/>
              </w:rPr>
              <w:t>Optometrist</w:t>
            </w:r>
          </w:p>
        </w:tc>
        <w:tc>
          <w:tcPr>
            <w:tcW w:w="927" w:type="pct"/>
            <w:shd w:val="clear" w:color="auto" w:fill="auto"/>
          </w:tcPr>
          <w:p w:rsidR="00F00786" w:rsidRPr="000E20CE" w:rsidRDefault="00F00786" w:rsidP="00F00786">
            <w:pPr>
              <w:jc w:val="center"/>
              <w:rPr>
                <w:rFonts w:eastAsia="Calibri"/>
                <w:szCs w:val="24"/>
              </w:rPr>
            </w:pPr>
            <w:r w:rsidRPr="000E20CE">
              <w:rPr>
                <w:rFonts w:eastAsia="Calibri"/>
                <w:szCs w:val="24"/>
              </w:rPr>
              <w:t>30</w:t>
            </w:r>
          </w:p>
        </w:tc>
      </w:tr>
      <w:tr w:rsidR="00F00786" w:rsidRPr="000E20CE" w:rsidTr="00F00786">
        <w:trPr>
          <w:jc w:val="center"/>
        </w:trPr>
        <w:tc>
          <w:tcPr>
            <w:tcW w:w="4073" w:type="pct"/>
            <w:shd w:val="clear" w:color="auto" w:fill="auto"/>
          </w:tcPr>
          <w:p w:rsidR="00F00786" w:rsidRPr="000E20CE" w:rsidRDefault="00F00786" w:rsidP="00F00786">
            <w:pPr>
              <w:rPr>
                <w:rStyle w:val="Answertextfont"/>
                <w:rFonts w:eastAsia="Calibri"/>
                <w:sz w:val="24"/>
                <w:szCs w:val="24"/>
              </w:rPr>
            </w:pPr>
            <w:r w:rsidRPr="000E20CE">
              <w:rPr>
                <w:rStyle w:val="Answertextfont"/>
                <w:rFonts w:eastAsia="Calibri"/>
                <w:sz w:val="24"/>
                <w:szCs w:val="24"/>
              </w:rPr>
              <w:t>Orientation &amp; Mobility Specialist</w:t>
            </w:r>
          </w:p>
        </w:tc>
        <w:tc>
          <w:tcPr>
            <w:tcW w:w="927" w:type="pct"/>
            <w:shd w:val="clear" w:color="auto" w:fill="auto"/>
          </w:tcPr>
          <w:p w:rsidR="00F00786" w:rsidRPr="000E20CE" w:rsidRDefault="00F00786" w:rsidP="00F00786">
            <w:pPr>
              <w:jc w:val="center"/>
              <w:rPr>
                <w:rFonts w:eastAsia="Calibri"/>
                <w:szCs w:val="24"/>
              </w:rPr>
            </w:pPr>
            <w:r w:rsidRPr="000E20CE">
              <w:rPr>
                <w:rFonts w:eastAsia="Calibri"/>
                <w:szCs w:val="24"/>
              </w:rPr>
              <w:t>37</w:t>
            </w:r>
          </w:p>
        </w:tc>
      </w:tr>
      <w:tr w:rsidR="00F00786" w:rsidRPr="000E20CE" w:rsidTr="00F00786">
        <w:trPr>
          <w:jc w:val="center"/>
        </w:trPr>
        <w:tc>
          <w:tcPr>
            <w:tcW w:w="4073" w:type="pct"/>
            <w:shd w:val="clear" w:color="auto" w:fill="auto"/>
          </w:tcPr>
          <w:p w:rsidR="00F00786" w:rsidRPr="000E20CE" w:rsidRDefault="00F00786" w:rsidP="00F00786">
            <w:pPr>
              <w:rPr>
                <w:rFonts w:eastAsia="Calibri"/>
                <w:szCs w:val="24"/>
              </w:rPr>
            </w:pPr>
            <w:r w:rsidRPr="000E20CE">
              <w:rPr>
                <w:rStyle w:val="Answertextfont"/>
                <w:rFonts w:eastAsia="Calibri"/>
                <w:sz w:val="24"/>
                <w:szCs w:val="24"/>
              </w:rPr>
              <w:lastRenderedPageBreak/>
              <w:t>Orthoptist</w:t>
            </w:r>
          </w:p>
        </w:tc>
        <w:tc>
          <w:tcPr>
            <w:tcW w:w="927" w:type="pct"/>
            <w:shd w:val="clear" w:color="auto" w:fill="auto"/>
          </w:tcPr>
          <w:p w:rsidR="00F00786" w:rsidRPr="000E20CE" w:rsidRDefault="00F00786" w:rsidP="00F00786">
            <w:pPr>
              <w:jc w:val="center"/>
              <w:rPr>
                <w:rFonts w:eastAsia="Calibri"/>
                <w:szCs w:val="24"/>
              </w:rPr>
            </w:pPr>
            <w:r w:rsidRPr="000E20CE">
              <w:rPr>
                <w:rFonts w:eastAsia="Calibri"/>
                <w:szCs w:val="24"/>
              </w:rPr>
              <w:t>30</w:t>
            </w:r>
          </w:p>
        </w:tc>
      </w:tr>
      <w:tr w:rsidR="00F00786" w:rsidRPr="000E20CE" w:rsidTr="00F00786">
        <w:trPr>
          <w:jc w:val="center"/>
        </w:trPr>
        <w:tc>
          <w:tcPr>
            <w:tcW w:w="4073" w:type="pct"/>
            <w:shd w:val="clear" w:color="auto" w:fill="auto"/>
          </w:tcPr>
          <w:p w:rsidR="00F00786" w:rsidRPr="000E20CE" w:rsidRDefault="000E20CE" w:rsidP="00F00786">
            <w:pPr>
              <w:rPr>
                <w:rStyle w:val="Answertextfont"/>
                <w:rFonts w:eastAsia="Calibri"/>
                <w:sz w:val="24"/>
                <w:szCs w:val="24"/>
              </w:rPr>
            </w:pPr>
            <w:r w:rsidRPr="000E20CE">
              <w:rPr>
                <w:rStyle w:val="Answertextfont"/>
                <w:rFonts w:eastAsia="Calibri"/>
                <w:sz w:val="24"/>
                <w:szCs w:val="24"/>
              </w:rPr>
              <w:t>Other</w:t>
            </w:r>
            <w:r w:rsidRPr="000E20CE">
              <w:rPr>
                <w:rStyle w:val="FootnoteReference"/>
                <w:rFonts w:eastAsia="Calibri"/>
                <w:szCs w:val="24"/>
              </w:rPr>
              <w:footnoteReference w:id="15"/>
            </w:r>
          </w:p>
        </w:tc>
        <w:tc>
          <w:tcPr>
            <w:tcW w:w="927" w:type="pct"/>
            <w:shd w:val="clear" w:color="auto" w:fill="auto"/>
          </w:tcPr>
          <w:p w:rsidR="00F00786" w:rsidRPr="000E20CE" w:rsidRDefault="00F00786" w:rsidP="00F00786">
            <w:pPr>
              <w:jc w:val="center"/>
              <w:rPr>
                <w:rFonts w:eastAsia="Calibri"/>
                <w:szCs w:val="24"/>
              </w:rPr>
            </w:pPr>
            <w:r w:rsidRPr="000E20CE">
              <w:rPr>
                <w:rFonts w:eastAsia="Calibri"/>
                <w:szCs w:val="24"/>
              </w:rPr>
              <w:t>26</w:t>
            </w:r>
          </w:p>
        </w:tc>
      </w:tr>
      <w:tr w:rsidR="00F00786" w:rsidRPr="000E20CE" w:rsidTr="00F00786">
        <w:trPr>
          <w:jc w:val="center"/>
        </w:trPr>
        <w:tc>
          <w:tcPr>
            <w:tcW w:w="4073" w:type="pct"/>
            <w:shd w:val="clear" w:color="auto" w:fill="auto"/>
          </w:tcPr>
          <w:p w:rsidR="00F00786" w:rsidRPr="000E20CE" w:rsidRDefault="00F00786" w:rsidP="00F00786">
            <w:pPr>
              <w:rPr>
                <w:rStyle w:val="Answertextfont"/>
                <w:rFonts w:eastAsia="Calibri"/>
                <w:sz w:val="24"/>
                <w:szCs w:val="24"/>
              </w:rPr>
            </w:pPr>
            <w:r w:rsidRPr="000E20CE">
              <w:rPr>
                <w:rStyle w:val="Answertextfont"/>
                <w:rFonts w:eastAsia="Calibri"/>
                <w:sz w:val="24"/>
                <w:szCs w:val="24"/>
              </w:rPr>
              <w:t>Physiotherapist</w:t>
            </w:r>
          </w:p>
        </w:tc>
        <w:tc>
          <w:tcPr>
            <w:tcW w:w="927" w:type="pct"/>
            <w:shd w:val="clear" w:color="auto" w:fill="auto"/>
          </w:tcPr>
          <w:p w:rsidR="00F00786" w:rsidRPr="000E20CE" w:rsidRDefault="00F00786" w:rsidP="00F00786">
            <w:pPr>
              <w:jc w:val="center"/>
              <w:rPr>
                <w:rFonts w:eastAsia="Calibri"/>
                <w:szCs w:val="24"/>
              </w:rPr>
            </w:pPr>
            <w:r w:rsidRPr="000E20CE">
              <w:rPr>
                <w:rFonts w:eastAsia="Calibri"/>
                <w:szCs w:val="24"/>
              </w:rPr>
              <w:t>7</w:t>
            </w:r>
          </w:p>
        </w:tc>
      </w:tr>
      <w:tr w:rsidR="00F00786" w:rsidRPr="000E20CE" w:rsidTr="00F00786">
        <w:trPr>
          <w:jc w:val="center"/>
        </w:trPr>
        <w:tc>
          <w:tcPr>
            <w:tcW w:w="4073" w:type="pct"/>
            <w:shd w:val="clear" w:color="auto" w:fill="auto"/>
          </w:tcPr>
          <w:p w:rsidR="00F00786" w:rsidRPr="000E20CE" w:rsidRDefault="00F00786" w:rsidP="00F00786">
            <w:pPr>
              <w:rPr>
                <w:rFonts w:eastAsia="Calibri"/>
                <w:szCs w:val="24"/>
              </w:rPr>
            </w:pPr>
            <w:r w:rsidRPr="000E20CE">
              <w:rPr>
                <w:rStyle w:val="Answertextfont"/>
                <w:rFonts w:eastAsia="Calibri"/>
                <w:sz w:val="24"/>
                <w:szCs w:val="24"/>
              </w:rPr>
              <w:t>Psychologist</w:t>
            </w:r>
          </w:p>
        </w:tc>
        <w:tc>
          <w:tcPr>
            <w:tcW w:w="927" w:type="pct"/>
            <w:shd w:val="clear" w:color="auto" w:fill="auto"/>
          </w:tcPr>
          <w:p w:rsidR="00F00786" w:rsidRPr="000E20CE" w:rsidRDefault="00F00786" w:rsidP="00F00786">
            <w:pPr>
              <w:jc w:val="center"/>
              <w:rPr>
                <w:rFonts w:eastAsia="Calibri"/>
                <w:szCs w:val="24"/>
              </w:rPr>
            </w:pPr>
            <w:r w:rsidRPr="000E20CE">
              <w:rPr>
                <w:rFonts w:eastAsia="Calibri"/>
                <w:szCs w:val="24"/>
              </w:rPr>
              <w:t>19</w:t>
            </w:r>
          </w:p>
        </w:tc>
      </w:tr>
      <w:tr w:rsidR="00F00786" w:rsidRPr="000E20CE" w:rsidTr="00F00786">
        <w:trPr>
          <w:jc w:val="center"/>
        </w:trPr>
        <w:tc>
          <w:tcPr>
            <w:tcW w:w="4073" w:type="pct"/>
            <w:shd w:val="clear" w:color="auto" w:fill="auto"/>
          </w:tcPr>
          <w:p w:rsidR="00F00786" w:rsidRPr="000E20CE" w:rsidRDefault="00F00786" w:rsidP="00F00786">
            <w:pPr>
              <w:rPr>
                <w:rFonts w:eastAsia="Calibri"/>
                <w:szCs w:val="24"/>
              </w:rPr>
            </w:pPr>
            <w:r w:rsidRPr="000E20CE">
              <w:rPr>
                <w:rStyle w:val="Answertextfont"/>
                <w:rFonts w:eastAsia="Calibri"/>
                <w:sz w:val="24"/>
                <w:szCs w:val="24"/>
              </w:rPr>
              <w:t>Speech Therapist</w:t>
            </w:r>
          </w:p>
        </w:tc>
        <w:tc>
          <w:tcPr>
            <w:tcW w:w="927" w:type="pct"/>
            <w:shd w:val="clear" w:color="auto" w:fill="auto"/>
          </w:tcPr>
          <w:p w:rsidR="00F00786" w:rsidRPr="000E20CE" w:rsidRDefault="00F00786" w:rsidP="00F00786">
            <w:pPr>
              <w:jc w:val="center"/>
              <w:rPr>
                <w:rFonts w:eastAsia="Calibri"/>
                <w:szCs w:val="24"/>
              </w:rPr>
            </w:pPr>
            <w:r w:rsidRPr="000E20CE">
              <w:rPr>
                <w:rFonts w:eastAsia="Calibri"/>
                <w:szCs w:val="24"/>
              </w:rPr>
              <w:t>11</w:t>
            </w:r>
          </w:p>
        </w:tc>
      </w:tr>
      <w:tr w:rsidR="00F00786" w:rsidRPr="000E20CE" w:rsidTr="00F00786">
        <w:trPr>
          <w:jc w:val="center"/>
        </w:trPr>
        <w:tc>
          <w:tcPr>
            <w:tcW w:w="4073" w:type="pct"/>
            <w:shd w:val="clear" w:color="auto" w:fill="auto"/>
          </w:tcPr>
          <w:p w:rsidR="00F00786" w:rsidRPr="000E20CE" w:rsidRDefault="00F00786" w:rsidP="00F00786">
            <w:pPr>
              <w:rPr>
                <w:rStyle w:val="Answertextfont"/>
                <w:rFonts w:eastAsia="Calibri"/>
                <w:sz w:val="24"/>
                <w:szCs w:val="24"/>
              </w:rPr>
            </w:pPr>
            <w:r w:rsidRPr="000E20CE">
              <w:rPr>
                <w:rStyle w:val="Answertextfont"/>
                <w:rFonts w:eastAsia="Calibri"/>
                <w:sz w:val="24"/>
                <w:szCs w:val="24"/>
              </w:rPr>
              <w:t>Teacher</w:t>
            </w:r>
          </w:p>
        </w:tc>
        <w:tc>
          <w:tcPr>
            <w:tcW w:w="927" w:type="pct"/>
            <w:shd w:val="clear" w:color="auto" w:fill="auto"/>
          </w:tcPr>
          <w:p w:rsidR="00F00786" w:rsidRPr="000E20CE" w:rsidRDefault="00F00786" w:rsidP="00F00786">
            <w:pPr>
              <w:jc w:val="center"/>
              <w:rPr>
                <w:rFonts w:eastAsia="Calibri"/>
                <w:szCs w:val="24"/>
              </w:rPr>
            </w:pPr>
            <w:r w:rsidRPr="000E20CE">
              <w:rPr>
                <w:rFonts w:eastAsia="Calibri"/>
                <w:szCs w:val="24"/>
              </w:rPr>
              <w:t>15</w:t>
            </w:r>
          </w:p>
        </w:tc>
      </w:tr>
    </w:tbl>
    <w:p w:rsidR="00F00786" w:rsidRPr="00EE106B" w:rsidRDefault="00F00786" w:rsidP="000E20CE">
      <w:pPr>
        <w:pStyle w:val="Heading3"/>
      </w:pPr>
      <w:bookmarkStart w:id="55" w:name="_Toc428361019"/>
      <w:bookmarkStart w:id="56" w:name="_Toc428362760"/>
      <w:r w:rsidRPr="00EE106B">
        <w:t>Volunteering contributed approx. $30m in 2013</w:t>
      </w:r>
      <w:bookmarkEnd w:id="55"/>
      <w:bookmarkEnd w:id="56"/>
    </w:p>
    <w:p w:rsidR="00F00786" w:rsidRPr="00EE106B" w:rsidRDefault="00F00786" w:rsidP="00EE106B">
      <w:r w:rsidRPr="00EE106B">
        <w:t>The sector attracts significant volunteering activity. The total average volunteered hours per week was 17,820 hours (with a range of 0 to 12,500), equivalent to one-third of the paid workforce.</w:t>
      </w:r>
    </w:p>
    <w:p w:rsidR="00F00786" w:rsidRPr="00EE106B" w:rsidRDefault="00F00786" w:rsidP="00EE106B">
      <w:r w:rsidRPr="00EE106B">
        <w:t>Using the minimum wage as a proxy for the value of an hour of volunteered time, this equates to $326,997 per week in volunteered work time for the sector. Calculated on a Community Services Worker Level 4, this contribution would increase to $584,318 per week in volunt</w:t>
      </w:r>
      <w:r w:rsidR="000E20CE">
        <w:t>eered work time for the sector</w:t>
      </w:r>
      <w:r w:rsidR="000E20CE">
        <w:rPr>
          <w:rStyle w:val="FootnoteReference"/>
        </w:rPr>
        <w:footnoteReference w:id="16"/>
      </w:r>
      <w:r w:rsidRPr="00EE106B">
        <w:t>.</w:t>
      </w:r>
    </w:p>
    <w:p w:rsidR="00F00786" w:rsidRPr="000E20CE" w:rsidRDefault="00F00786" w:rsidP="00EE106B">
      <w:pPr>
        <w:rPr>
          <w:b/>
        </w:rPr>
      </w:pPr>
      <w:r w:rsidRPr="000E20CE">
        <w:rPr>
          <w:b/>
        </w:rPr>
        <w:t xml:space="preserve">A quote from one respondent – the value of volunteer time: </w:t>
      </w:r>
    </w:p>
    <w:p w:rsidR="00F00786" w:rsidRPr="00EE106B" w:rsidRDefault="00F00786" w:rsidP="00EE106B">
      <w:r w:rsidRPr="00EE106B">
        <w:t>“A large number of</w:t>
      </w:r>
      <w:r w:rsidR="000E20CE">
        <w:t xml:space="preserve"> volunteer hours are related to </w:t>
      </w:r>
      <w:r w:rsidRPr="00EE106B">
        <w:t xml:space="preserve">guide dog programs (puppy raisers, boarding stock holders, boarders </w:t>
      </w:r>
      <w:r w:rsidR="000E20CE">
        <w:t xml:space="preserve">etc.) that have dogs 24 </w:t>
      </w:r>
      <w:r w:rsidRPr="00EE106B">
        <w:t>hours per day, se</w:t>
      </w:r>
      <w:r w:rsidR="000E20CE">
        <w:t xml:space="preserve">ven days per week for extensive </w:t>
      </w:r>
      <w:r w:rsidRPr="00EE106B">
        <w:t>periods. Membe</w:t>
      </w:r>
      <w:r w:rsidR="000E20CE">
        <w:t xml:space="preserve">rs of the ABF who provide guide </w:t>
      </w:r>
      <w:r w:rsidRPr="00EE106B">
        <w:t>dogs have investe</w:t>
      </w:r>
      <w:r w:rsidR="000E20CE">
        <w:t xml:space="preserve">d heavily and over many decades </w:t>
      </w:r>
      <w:r w:rsidRPr="00EE106B">
        <w:t>to produce quality</w:t>
      </w:r>
      <w:r w:rsidR="000E20CE">
        <w:t xml:space="preserve"> dogs and breeding stock, which </w:t>
      </w:r>
      <w:r w:rsidRPr="00EE106B">
        <w:t>are allocated to specifically suit a client. The volunteer contribution is essential to the eight l</w:t>
      </w:r>
      <w:r w:rsidR="000E20CE">
        <w:t xml:space="preserve">arge organisations that provide </w:t>
      </w:r>
      <w:r w:rsidRPr="00EE106B">
        <w:t>dogs for people who are blind or vision impaired, and without this</w:t>
      </w:r>
      <w:r w:rsidR="000E20CE">
        <w:t xml:space="preserve"> contribution the cost of guide </w:t>
      </w:r>
      <w:r w:rsidRPr="00EE106B">
        <w:t>dogs would be prohibitive for most clients.”</w:t>
      </w:r>
    </w:p>
    <w:p w:rsidR="00F00786" w:rsidRPr="00EE106B" w:rsidRDefault="00F00786" w:rsidP="000E20CE">
      <w:pPr>
        <w:pStyle w:val="Heading3"/>
      </w:pPr>
      <w:bookmarkStart w:id="57" w:name="_Toc428361020"/>
      <w:bookmarkStart w:id="58" w:name="_Toc428362761"/>
      <w:r w:rsidRPr="00EE106B">
        <w:lastRenderedPageBreak/>
        <w:t>A diverse and comprehensive sector</w:t>
      </w:r>
      <w:bookmarkEnd w:id="57"/>
      <w:bookmarkEnd w:id="58"/>
    </w:p>
    <w:p w:rsidR="00F00786" w:rsidRPr="00EE106B" w:rsidRDefault="00F00786" w:rsidP="00EE106B">
      <w:r w:rsidRPr="00EE106B">
        <w:t>The survey reveals the current structure and composition of the supply</w:t>
      </w:r>
      <w:r w:rsidR="000E20CE">
        <w:t xml:space="preserve"> side for low vision, blindness </w:t>
      </w:r>
      <w:r w:rsidRPr="00EE106B">
        <w:t xml:space="preserve">and rehabilitation services. Most organisations currently have a diverse ‘service footprint’ and offer a broad range of services. On average, organisations delivered eight service types. The data showed that respondents delivered between one and 18 services. The most offered services for the blindness sector were community awareness/education; advocacy and advisory; information services; education support; and aids, equipment and assistive technology (see </w:t>
      </w:r>
      <w:r w:rsidRPr="000E20CE">
        <w:rPr>
          <w:b/>
        </w:rPr>
        <w:t>Table 2</w:t>
      </w:r>
      <w:r w:rsidRPr="00EE106B">
        <w:t xml:space="preserve"> below).</w:t>
      </w:r>
    </w:p>
    <w:p w:rsidR="00F00786" w:rsidRPr="00EE106B" w:rsidRDefault="00F00786" w:rsidP="00EE106B">
      <w:r w:rsidRPr="00EE106B">
        <w:t>More than one-third (35 per cent) provided ten or more services. This data demonstrates the range of services offered by members of the blindness, low vision and rehabilitation sector.</w:t>
      </w:r>
    </w:p>
    <w:p w:rsidR="00F00786" w:rsidRPr="00EE106B" w:rsidRDefault="00F00786" w:rsidP="00EE106B">
      <w:r w:rsidRPr="00EE106B">
        <w:t>The more specialist services were offered by a smaller number of organisations.</w:t>
      </w:r>
    </w:p>
    <w:p w:rsidR="000E20CE" w:rsidRPr="00AC366C" w:rsidRDefault="00F00786" w:rsidP="00AC366C">
      <w:pPr>
        <w:rPr>
          <w:b/>
        </w:rPr>
      </w:pPr>
      <w:r w:rsidRPr="00AC366C">
        <w:rPr>
          <w:b/>
        </w:rPr>
        <w:t xml:space="preserve">Table </w:t>
      </w:r>
      <w:r w:rsidR="008D40E2">
        <w:rPr>
          <w:b/>
        </w:rPr>
        <w:t>2</w:t>
      </w:r>
      <w:r w:rsidRPr="00AC366C">
        <w:rPr>
          <w:b/>
        </w:rPr>
        <w:t>: Blindness, low vision and rehabilitation services delivered in 2013</w:t>
      </w:r>
    </w:p>
    <w:tbl>
      <w:tblPr>
        <w:tblW w:w="4944" w:type="pct"/>
        <w:jc w:val="center"/>
        <w:tblLook w:val="0000" w:firstRow="0" w:lastRow="0" w:firstColumn="0" w:lastColumn="0" w:noHBand="0" w:noVBand="0"/>
      </w:tblPr>
      <w:tblGrid>
        <w:gridCol w:w="7014"/>
        <w:gridCol w:w="3289"/>
      </w:tblGrid>
      <w:tr w:rsidR="00F00786" w:rsidRPr="00554D07" w:rsidTr="000E20CE">
        <w:trPr>
          <w:trHeight w:val="445"/>
          <w:tblHeader/>
          <w:jc w:val="center"/>
        </w:trPr>
        <w:tc>
          <w:tcPr>
            <w:tcW w:w="3404" w:type="pct"/>
            <w:tcBorders>
              <w:top w:val="single" w:sz="4" w:space="0" w:color="auto"/>
              <w:left w:val="single" w:sz="4" w:space="0" w:color="auto"/>
              <w:bottom w:val="single" w:sz="4" w:space="0" w:color="auto"/>
              <w:right w:val="single" w:sz="4" w:space="0" w:color="auto"/>
            </w:tcBorders>
            <w:vAlign w:val="bottom"/>
          </w:tcPr>
          <w:p w:rsidR="00F00786" w:rsidRPr="000E20CE" w:rsidRDefault="000E20CE" w:rsidP="00F00786">
            <w:pPr>
              <w:autoSpaceDE w:val="0"/>
              <w:autoSpaceDN w:val="0"/>
              <w:adjustRightInd w:val="0"/>
              <w:jc w:val="center"/>
              <w:rPr>
                <w:rStyle w:val="Answertextfont"/>
                <w:b/>
                <w:sz w:val="24"/>
                <w:szCs w:val="24"/>
              </w:rPr>
            </w:pPr>
            <w:bookmarkStart w:id="59" w:name="ColumnTitle_1" w:colFirst="0" w:colLast="1"/>
            <w:r w:rsidRPr="000E20CE">
              <w:rPr>
                <w:rFonts w:eastAsia="Calibri"/>
                <w:b/>
                <w:bCs/>
                <w:szCs w:val="24"/>
              </w:rPr>
              <w:t>Health or allied health roles</w:t>
            </w:r>
          </w:p>
        </w:tc>
        <w:tc>
          <w:tcPr>
            <w:tcW w:w="1596" w:type="pct"/>
            <w:tcBorders>
              <w:top w:val="single" w:sz="4" w:space="0" w:color="auto"/>
              <w:left w:val="single" w:sz="4" w:space="0" w:color="auto"/>
              <w:bottom w:val="single" w:sz="4" w:space="0" w:color="auto"/>
              <w:right w:val="single" w:sz="4" w:space="0" w:color="auto"/>
            </w:tcBorders>
            <w:vAlign w:val="bottom"/>
          </w:tcPr>
          <w:p w:rsidR="00F00786" w:rsidRPr="000E20CE" w:rsidRDefault="00F00786" w:rsidP="00F00786">
            <w:pPr>
              <w:autoSpaceDE w:val="0"/>
              <w:autoSpaceDN w:val="0"/>
              <w:adjustRightInd w:val="0"/>
              <w:jc w:val="center"/>
              <w:rPr>
                <w:b/>
                <w:szCs w:val="24"/>
              </w:rPr>
            </w:pPr>
            <w:r w:rsidRPr="000E20CE">
              <w:rPr>
                <w:b/>
                <w:szCs w:val="24"/>
              </w:rPr>
              <w:t>% of respondents that offered this service in 2013</w:t>
            </w:r>
          </w:p>
        </w:tc>
      </w:tr>
      <w:bookmarkEnd w:id="59"/>
      <w:tr w:rsidR="00F00786" w:rsidRPr="00554D07" w:rsidTr="000E20CE">
        <w:trPr>
          <w:trHeight w:val="265"/>
          <w:jc w:val="center"/>
        </w:trPr>
        <w:tc>
          <w:tcPr>
            <w:tcW w:w="3404" w:type="pct"/>
            <w:tcBorders>
              <w:top w:val="single" w:sz="4" w:space="0" w:color="auto"/>
              <w:left w:val="single" w:sz="4" w:space="0" w:color="auto"/>
              <w:bottom w:val="single" w:sz="4" w:space="0" w:color="auto"/>
              <w:right w:val="single" w:sz="4" w:space="0" w:color="auto"/>
            </w:tcBorders>
          </w:tcPr>
          <w:p w:rsidR="00F00786" w:rsidRPr="000E20CE" w:rsidRDefault="00F00786" w:rsidP="00F00786">
            <w:pPr>
              <w:autoSpaceDE w:val="0"/>
              <w:autoSpaceDN w:val="0"/>
              <w:adjustRightInd w:val="0"/>
              <w:rPr>
                <w:szCs w:val="24"/>
              </w:rPr>
            </w:pPr>
            <w:r w:rsidRPr="000E20CE">
              <w:rPr>
                <w:rStyle w:val="Answertextfont"/>
                <w:sz w:val="24"/>
                <w:szCs w:val="24"/>
              </w:rPr>
              <w:t>Activities of daily living (e.g. supported living)</w:t>
            </w:r>
          </w:p>
        </w:tc>
        <w:tc>
          <w:tcPr>
            <w:tcW w:w="1596" w:type="pct"/>
            <w:tcBorders>
              <w:top w:val="single" w:sz="4" w:space="0" w:color="auto"/>
              <w:left w:val="single" w:sz="4" w:space="0" w:color="auto"/>
              <w:bottom w:val="single" w:sz="4" w:space="0" w:color="auto"/>
              <w:right w:val="single" w:sz="4" w:space="0" w:color="auto"/>
            </w:tcBorders>
            <w:vAlign w:val="bottom"/>
          </w:tcPr>
          <w:p w:rsidR="00F00786" w:rsidRPr="000E20CE" w:rsidRDefault="00F00786" w:rsidP="00F00786">
            <w:pPr>
              <w:jc w:val="center"/>
              <w:rPr>
                <w:szCs w:val="24"/>
              </w:rPr>
            </w:pPr>
            <w:r w:rsidRPr="000E20CE">
              <w:rPr>
                <w:szCs w:val="24"/>
              </w:rPr>
              <w:t>35</w:t>
            </w:r>
          </w:p>
        </w:tc>
      </w:tr>
      <w:tr w:rsidR="00F00786" w:rsidRPr="00554D07" w:rsidTr="000E20CE">
        <w:trPr>
          <w:trHeight w:val="265"/>
          <w:jc w:val="center"/>
        </w:trPr>
        <w:tc>
          <w:tcPr>
            <w:tcW w:w="3404" w:type="pct"/>
            <w:tcBorders>
              <w:top w:val="single" w:sz="4" w:space="0" w:color="auto"/>
              <w:left w:val="single" w:sz="4" w:space="0" w:color="auto"/>
              <w:bottom w:val="single" w:sz="4" w:space="0" w:color="auto"/>
              <w:right w:val="single" w:sz="4" w:space="0" w:color="auto"/>
            </w:tcBorders>
          </w:tcPr>
          <w:p w:rsidR="00F00786" w:rsidRPr="000E20CE" w:rsidRDefault="00F00786" w:rsidP="00F00786">
            <w:pPr>
              <w:autoSpaceDE w:val="0"/>
              <w:autoSpaceDN w:val="0"/>
              <w:adjustRightInd w:val="0"/>
              <w:rPr>
                <w:szCs w:val="24"/>
              </w:rPr>
            </w:pPr>
            <w:r w:rsidRPr="000E20CE">
              <w:rPr>
                <w:rStyle w:val="Answertextfont"/>
                <w:sz w:val="24"/>
                <w:szCs w:val="24"/>
              </w:rPr>
              <w:t>Advocacy or advisory</w:t>
            </w:r>
          </w:p>
        </w:tc>
        <w:tc>
          <w:tcPr>
            <w:tcW w:w="1596" w:type="pct"/>
            <w:tcBorders>
              <w:top w:val="single" w:sz="4" w:space="0" w:color="auto"/>
              <w:left w:val="single" w:sz="4" w:space="0" w:color="auto"/>
              <w:bottom w:val="single" w:sz="4" w:space="0" w:color="auto"/>
              <w:right w:val="single" w:sz="4" w:space="0" w:color="auto"/>
            </w:tcBorders>
            <w:vAlign w:val="bottom"/>
          </w:tcPr>
          <w:p w:rsidR="00F00786" w:rsidRPr="000E20CE" w:rsidRDefault="00F00786" w:rsidP="00F00786">
            <w:pPr>
              <w:jc w:val="center"/>
              <w:rPr>
                <w:szCs w:val="24"/>
              </w:rPr>
            </w:pPr>
            <w:r w:rsidRPr="000E20CE">
              <w:rPr>
                <w:szCs w:val="24"/>
              </w:rPr>
              <w:t>69</w:t>
            </w:r>
          </w:p>
        </w:tc>
      </w:tr>
      <w:tr w:rsidR="00F00786" w:rsidRPr="00554D07" w:rsidTr="000E20CE">
        <w:trPr>
          <w:trHeight w:val="265"/>
          <w:jc w:val="center"/>
        </w:trPr>
        <w:tc>
          <w:tcPr>
            <w:tcW w:w="3404" w:type="pct"/>
            <w:tcBorders>
              <w:top w:val="single" w:sz="4" w:space="0" w:color="auto"/>
              <w:left w:val="single" w:sz="4" w:space="0" w:color="auto"/>
              <w:bottom w:val="single" w:sz="4" w:space="0" w:color="auto"/>
              <w:right w:val="single" w:sz="4" w:space="0" w:color="auto"/>
            </w:tcBorders>
          </w:tcPr>
          <w:p w:rsidR="00F00786" w:rsidRPr="000E20CE" w:rsidRDefault="00F00786" w:rsidP="00F00786">
            <w:pPr>
              <w:autoSpaceDE w:val="0"/>
              <w:autoSpaceDN w:val="0"/>
              <w:adjustRightInd w:val="0"/>
              <w:rPr>
                <w:szCs w:val="24"/>
              </w:rPr>
            </w:pPr>
            <w:r w:rsidRPr="000E20CE">
              <w:rPr>
                <w:rStyle w:val="Answertextfont"/>
                <w:sz w:val="24"/>
                <w:szCs w:val="24"/>
              </w:rPr>
              <w:t>Aids, equipment &amp; assistive technology (e.g. daily living aids, magnification devices, communication aids, GPS, computers)</w:t>
            </w:r>
          </w:p>
        </w:tc>
        <w:tc>
          <w:tcPr>
            <w:tcW w:w="1596" w:type="pct"/>
            <w:tcBorders>
              <w:top w:val="single" w:sz="4" w:space="0" w:color="auto"/>
              <w:left w:val="single" w:sz="4" w:space="0" w:color="auto"/>
              <w:bottom w:val="single" w:sz="4" w:space="0" w:color="auto"/>
              <w:right w:val="single" w:sz="4" w:space="0" w:color="auto"/>
            </w:tcBorders>
            <w:vAlign w:val="bottom"/>
          </w:tcPr>
          <w:p w:rsidR="00F00786" w:rsidRPr="000E20CE" w:rsidRDefault="00F00786" w:rsidP="00F00786">
            <w:pPr>
              <w:jc w:val="center"/>
              <w:rPr>
                <w:szCs w:val="24"/>
              </w:rPr>
            </w:pPr>
            <w:r w:rsidRPr="000E20CE">
              <w:rPr>
                <w:szCs w:val="24"/>
              </w:rPr>
              <w:t>58</w:t>
            </w:r>
          </w:p>
        </w:tc>
      </w:tr>
      <w:tr w:rsidR="00F00786" w:rsidRPr="00554D07" w:rsidTr="000E20CE">
        <w:trPr>
          <w:trHeight w:val="265"/>
          <w:jc w:val="center"/>
        </w:trPr>
        <w:tc>
          <w:tcPr>
            <w:tcW w:w="3404" w:type="pct"/>
            <w:tcBorders>
              <w:top w:val="single" w:sz="4" w:space="0" w:color="auto"/>
              <w:left w:val="single" w:sz="4" w:space="0" w:color="auto"/>
              <w:bottom w:val="single" w:sz="4" w:space="0" w:color="auto"/>
              <w:right w:val="single" w:sz="4" w:space="0" w:color="auto"/>
            </w:tcBorders>
          </w:tcPr>
          <w:p w:rsidR="00F00786" w:rsidRPr="000E20CE" w:rsidRDefault="00F00786" w:rsidP="00F00786">
            <w:pPr>
              <w:autoSpaceDE w:val="0"/>
              <w:autoSpaceDN w:val="0"/>
              <w:adjustRightInd w:val="0"/>
              <w:rPr>
                <w:szCs w:val="24"/>
              </w:rPr>
            </w:pPr>
            <w:r w:rsidRPr="000E20CE">
              <w:rPr>
                <w:rStyle w:val="Answertextfont"/>
                <w:sz w:val="24"/>
                <w:szCs w:val="24"/>
              </w:rPr>
              <w:t>Community awareness/community education (e.g. forums, workshops)</w:t>
            </w:r>
          </w:p>
        </w:tc>
        <w:tc>
          <w:tcPr>
            <w:tcW w:w="1596" w:type="pct"/>
            <w:tcBorders>
              <w:top w:val="single" w:sz="4" w:space="0" w:color="auto"/>
              <w:left w:val="single" w:sz="4" w:space="0" w:color="auto"/>
              <w:bottom w:val="single" w:sz="4" w:space="0" w:color="auto"/>
              <w:right w:val="single" w:sz="4" w:space="0" w:color="auto"/>
            </w:tcBorders>
            <w:vAlign w:val="bottom"/>
          </w:tcPr>
          <w:p w:rsidR="00F00786" w:rsidRPr="000E20CE" w:rsidRDefault="00F00786" w:rsidP="00F00786">
            <w:pPr>
              <w:jc w:val="center"/>
              <w:rPr>
                <w:szCs w:val="24"/>
              </w:rPr>
            </w:pPr>
            <w:r w:rsidRPr="000E20CE">
              <w:rPr>
                <w:szCs w:val="24"/>
              </w:rPr>
              <w:t>85</w:t>
            </w:r>
          </w:p>
        </w:tc>
      </w:tr>
      <w:tr w:rsidR="00F00786" w:rsidRPr="00554D07" w:rsidTr="000E20CE">
        <w:trPr>
          <w:trHeight w:val="224"/>
          <w:jc w:val="center"/>
        </w:trPr>
        <w:tc>
          <w:tcPr>
            <w:tcW w:w="3404" w:type="pct"/>
            <w:tcBorders>
              <w:top w:val="single" w:sz="4" w:space="0" w:color="auto"/>
              <w:left w:val="single" w:sz="4" w:space="0" w:color="auto"/>
              <w:bottom w:val="single" w:sz="4" w:space="0" w:color="auto"/>
              <w:right w:val="single" w:sz="4" w:space="0" w:color="auto"/>
            </w:tcBorders>
          </w:tcPr>
          <w:p w:rsidR="00F00786" w:rsidRPr="000E20CE" w:rsidRDefault="00F00786" w:rsidP="00F00786">
            <w:pPr>
              <w:autoSpaceDE w:val="0"/>
              <w:autoSpaceDN w:val="0"/>
              <w:adjustRightInd w:val="0"/>
              <w:rPr>
                <w:rStyle w:val="Answertextfont"/>
                <w:sz w:val="24"/>
                <w:szCs w:val="24"/>
              </w:rPr>
            </w:pPr>
            <w:r w:rsidRPr="000E20CE">
              <w:rPr>
                <w:rStyle w:val="Answertextfont"/>
                <w:sz w:val="24"/>
                <w:szCs w:val="24"/>
              </w:rPr>
              <w:t>Counselling</w:t>
            </w:r>
          </w:p>
        </w:tc>
        <w:tc>
          <w:tcPr>
            <w:tcW w:w="1596" w:type="pct"/>
            <w:tcBorders>
              <w:top w:val="single" w:sz="4" w:space="0" w:color="auto"/>
              <w:left w:val="single" w:sz="4" w:space="0" w:color="auto"/>
              <w:bottom w:val="single" w:sz="4" w:space="0" w:color="auto"/>
              <w:right w:val="single" w:sz="4" w:space="0" w:color="auto"/>
            </w:tcBorders>
            <w:vAlign w:val="bottom"/>
          </w:tcPr>
          <w:p w:rsidR="00F00786" w:rsidRPr="000E20CE" w:rsidRDefault="00F00786" w:rsidP="00F00786">
            <w:pPr>
              <w:jc w:val="center"/>
              <w:rPr>
                <w:szCs w:val="24"/>
              </w:rPr>
            </w:pPr>
            <w:r w:rsidRPr="000E20CE">
              <w:rPr>
                <w:szCs w:val="24"/>
              </w:rPr>
              <w:t>27</w:t>
            </w:r>
          </w:p>
        </w:tc>
      </w:tr>
      <w:tr w:rsidR="00F00786" w:rsidRPr="00554D07" w:rsidTr="000E20CE">
        <w:trPr>
          <w:trHeight w:val="224"/>
          <w:jc w:val="center"/>
        </w:trPr>
        <w:tc>
          <w:tcPr>
            <w:tcW w:w="3404" w:type="pct"/>
            <w:tcBorders>
              <w:top w:val="single" w:sz="4" w:space="0" w:color="auto"/>
              <w:left w:val="single" w:sz="4" w:space="0" w:color="auto"/>
              <w:bottom w:val="single" w:sz="4" w:space="0" w:color="auto"/>
              <w:right w:val="single" w:sz="4" w:space="0" w:color="auto"/>
            </w:tcBorders>
          </w:tcPr>
          <w:p w:rsidR="00F00786" w:rsidRPr="000E20CE" w:rsidRDefault="00F00786" w:rsidP="00F00786">
            <w:pPr>
              <w:autoSpaceDE w:val="0"/>
              <w:autoSpaceDN w:val="0"/>
              <w:adjustRightInd w:val="0"/>
              <w:rPr>
                <w:szCs w:val="24"/>
              </w:rPr>
            </w:pPr>
            <w:r w:rsidRPr="000E20CE">
              <w:rPr>
                <w:rStyle w:val="Answertextfont"/>
                <w:sz w:val="24"/>
                <w:szCs w:val="24"/>
              </w:rPr>
              <w:t>Education support (e.g. in schools)</w:t>
            </w:r>
          </w:p>
        </w:tc>
        <w:tc>
          <w:tcPr>
            <w:tcW w:w="1596" w:type="pct"/>
            <w:tcBorders>
              <w:top w:val="single" w:sz="4" w:space="0" w:color="auto"/>
              <w:left w:val="single" w:sz="4" w:space="0" w:color="auto"/>
              <w:bottom w:val="single" w:sz="4" w:space="0" w:color="auto"/>
              <w:right w:val="single" w:sz="4" w:space="0" w:color="auto"/>
            </w:tcBorders>
            <w:vAlign w:val="bottom"/>
          </w:tcPr>
          <w:p w:rsidR="00F00786" w:rsidRPr="000E20CE" w:rsidRDefault="00F00786" w:rsidP="00F00786">
            <w:pPr>
              <w:jc w:val="center"/>
              <w:rPr>
                <w:szCs w:val="24"/>
              </w:rPr>
            </w:pPr>
            <w:r w:rsidRPr="000E20CE">
              <w:rPr>
                <w:szCs w:val="24"/>
              </w:rPr>
              <w:t>62</w:t>
            </w:r>
          </w:p>
        </w:tc>
      </w:tr>
      <w:tr w:rsidR="00F00786" w:rsidRPr="00554D07" w:rsidTr="000E20CE">
        <w:trPr>
          <w:jc w:val="center"/>
        </w:trPr>
        <w:tc>
          <w:tcPr>
            <w:tcW w:w="3404" w:type="pct"/>
            <w:tcBorders>
              <w:top w:val="single" w:sz="4" w:space="0" w:color="auto"/>
              <w:left w:val="single" w:sz="4" w:space="0" w:color="auto"/>
              <w:bottom w:val="single" w:sz="4" w:space="0" w:color="auto"/>
              <w:right w:val="single" w:sz="4" w:space="0" w:color="auto"/>
            </w:tcBorders>
          </w:tcPr>
          <w:p w:rsidR="00F00786" w:rsidRPr="000E20CE" w:rsidRDefault="00F00786" w:rsidP="00F00786">
            <w:pPr>
              <w:autoSpaceDE w:val="0"/>
              <w:autoSpaceDN w:val="0"/>
              <w:adjustRightInd w:val="0"/>
              <w:rPr>
                <w:szCs w:val="24"/>
              </w:rPr>
            </w:pPr>
            <w:r w:rsidRPr="000E20CE">
              <w:rPr>
                <w:rStyle w:val="Answertextfont"/>
                <w:sz w:val="24"/>
                <w:szCs w:val="24"/>
              </w:rPr>
              <w:t>Employment services</w:t>
            </w:r>
          </w:p>
        </w:tc>
        <w:tc>
          <w:tcPr>
            <w:tcW w:w="1596" w:type="pct"/>
            <w:tcBorders>
              <w:top w:val="single" w:sz="4" w:space="0" w:color="auto"/>
              <w:left w:val="single" w:sz="4" w:space="0" w:color="auto"/>
              <w:bottom w:val="single" w:sz="4" w:space="0" w:color="auto"/>
              <w:right w:val="single" w:sz="4" w:space="0" w:color="auto"/>
            </w:tcBorders>
            <w:vAlign w:val="bottom"/>
          </w:tcPr>
          <w:p w:rsidR="00F00786" w:rsidRPr="000E20CE" w:rsidRDefault="00F00786" w:rsidP="00F00786">
            <w:pPr>
              <w:jc w:val="center"/>
              <w:rPr>
                <w:szCs w:val="24"/>
              </w:rPr>
            </w:pPr>
            <w:r w:rsidRPr="000E20CE">
              <w:rPr>
                <w:szCs w:val="24"/>
              </w:rPr>
              <w:t>19</w:t>
            </w:r>
          </w:p>
        </w:tc>
      </w:tr>
      <w:tr w:rsidR="00F00786" w:rsidRPr="00554D07" w:rsidTr="000E20CE">
        <w:trPr>
          <w:jc w:val="center"/>
        </w:trPr>
        <w:tc>
          <w:tcPr>
            <w:tcW w:w="3404" w:type="pct"/>
            <w:tcBorders>
              <w:top w:val="single" w:sz="4" w:space="0" w:color="auto"/>
              <w:left w:val="single" w:sz="4" w:space="0" w:color="auto"/>
              <w:bottom w:val="single" w:sz="4" w:space="0" w:color="auto"/>
              <w:right w:val="single" w:sz="4" w:space="0" w:color="auto"/>
            </w:tcBorders>
          </w:tcPr>
          <w:p w:rsidR="00F00786" w:rsidRPr="000E20CE" w:rsidRDefault="00F00786" w:rsidP="00F00786">
            <w:pPr>
              <w:autoSpaceDE w:val="0"/>
              <w:autoSpaceDN w:val="0"/>
              <w:adjustRightInd w:val="0"/>
              <w:rPr>
                <w:szCs w:val="24"/>
              </w:rPr>
            </w:pPr>
            <w:r w:rsidRPr="000E20CE">
              <w:rPr>
                <w:rStyle w:val="Answertextfont"/>
                <w:sz w:val="24"/>
                <w:szCs w:val="24"/>
              </w:rPr>
              <w:t>Guide dogs</w:t>
            </w:r>
          </w:p>
        </w:tc>
        <w:tc>
          <w:tcPr>
            <w:tcW w:w="1596" w:type="pct"/>
            <w:tcBorders>
              <w:top w:val="single" w:sz="4" w:space="0" w:color="auto"/>
              <w:left w:val="single" w:sz="4" w:space="0" w:color="auto"/>
              <w:bottom w:val="single" w:sz="4" w:space="0" w:color="auto"/>
              <w:right w:val="single" w:sz="4" w:space="0" w:color="auto"/>
            </w:tcBorders>
            <w:vAlign w:val="bottom"/>
          </w:tcPr>
          <w:p w:rsidR="00F00786" w:rsidRPr="000E20CE" w:rsidRDefault="00F00786" w:rsidP="00F00786">
            <w:pPr>
              <w:jc w:val="center"/>
              <w:rPr>
                <w:szCs w:val="24"/>
              </w:rPr>
            </w:pPr>
            <w:r w:rsidRPr="000E20CE">
              <w:rPr>
                <w:szCs w:val="24"/>
              </w:rPr>
              <w:t>31</w:t>
            </w:r>
          </w:p>
        </w:tc>
      </w:tr>
      <w:tr w:rsidR="00F00786" w:rsidRPr="00554D07" w:rsidTr="000E20CE">
        <w:trPr>
          <w:jc w:val="center"/>
        </w:trPr>
        <w:tc>
          <w:tcPr>
            <w:tcW w:w="3404" w:type="pct"/>
            <w:tcBorders>
              <w:top w:val="single" w:sz="4" w:space="0" w:color="auto"/>
              <w:left w:val="single" w:sz="4" w:space="0" w:color="auto"/>
              <w:bottom w:val="single" w:sz="4" w:space="0" w:color="auto"/>
              <w:right w:val="single" w:sz="4" w:space="0" w:color="auto"/>
            </w:tcBorders>
          </w:tcPr>
          <w:p w:rsidR="00F00786" w:rsidRPr="000E20CE" w:rsidRDefault="00F00786" w:rsidP="00F00786">
            <w:pPr>
              <w:autoSpaceDE w:val="0"/>
              <w:autoSpaceDN w:val="0"/>
              <w:adjustRightInd w:val="0"/>
              <w:rPr>
                <w:szCs w:val="24"/>
              </w:rPr>
            </w:pPr>
            <w:r w:rsidRPr="000E20CE">
              <w:rPr>
                <w:rStyle w:val="Answertextfont"/>
                <w:sz w:val="24"/>
                <w:szCs w:val="24"/>
              </w:rPr>
              <w:t>Information services</w:t>
            </w:r>
          </w:p>
        </w:tc>
        <w:tc>
          <w:tcPr>
            <w:tcW w:w="1596" w:type="pct"/>
            <w:tcBorders>
              <w:top w:val="single" w:sz="4" w:space="0" w:color="auto"/>
              <w:left w:val="single" w:sz="4" w:space="0" w:color="auto"/>
              <w:bottom w:val="single" w:sz="4" w:space="0" w:color="auto"/>
              <w:right w:val="single" w:sz="4" w:space="0" w:color="auto"/>
            </w:tcBorders>
            <w:vAlign w:val="bottom"/>
          </w:tcPr>
          <w:p w:rsidR="00F00786" w:rsidRPr="000E20CE" w:rsidRDefault="00F00786" w:rsidP="00F00786">
            <w:pPr>
              <w:jc w:val="center"/>
              <w:rPr>
                <w:szCs w:val="24"/>
              </w:rPr>
            </w:pPr>
            <w:r w:rsidRPr="000E20CE">
              <w:rPr>
                <w:szCs w:val="24"/>
              </w:rPr>
              <w:t>69</w:t>
            </w:r>
          </w:p>
        </w:tc>
      </w:tr>
      <w:tr w:rsidR="00F00786" w:rsidRPr="00554D07" w:rsidTr="000E20CE">
        <w:trPr>
          <w:jc w:val="center"/>
        </w:trPr>
        <w:tc>
          <w:tcPr>
            <w:tcW w:w="3404" w:type="pct"/>
            <w:tcBorders>
              <w:top w:val="single" w:sz="4" w:space="0" w:color="auto"/>
              <w:left w:val="single" w:sz="4" w:space="0" w:color="auto"/>
              <w:bottom w:val="single" w:sz="4" w:space="0" w:color="auto"/>
              <w:right w:val="single" w:sz="4" w:space="0" w:color="auto"/>
            </w:tcBorders>
          </w:tcPr>
          <w:p w:rsidR="00F00786" w:rsidRPr="000E20CE" w:rsidRDefault="00F00786" w:rsidP="00F00786">
            <w:pPr>
              <w:autoSpaceDE w:val="0"/>
              <w:autoSpaceDN w:val="0"/>
              <w:adjustRightInd w:val="0"/>
              <w:rPr>
                <w:szCs w:val="24"/>
              </w:rPr>
            </w:pPr>
            <w:r w:rsidRPr="000E20CE">
              <w:rPr>
                <w:rStyle w:val="Answertextfont"/>
                <w:sz w:val="24"/>
                <w:szCs w:val="24"/>
              </w:rPr>
              <w:lastRenderedPageBreak/>
              <w:t>Library services</w:t>
            </w:r>
          </w:p>
        </w:tc>
        <w:tc>
          <w:tcPr>
            <w:tcW w:w="1596" w:type="pct"/>
            <w:tcBorders>
              <w:top w:val="single" w:sz="4" w:space="0" w:color="auto"/>
              <w:left w:val="single" w:sz="4" w:space="0" w:color="auto"/>
              <w:bottom w:val="single" w:sz="4" w:space="0" w:color="auto"/>
              <w:right w:val="single" w:sz="4" w:space="0" w:color="auto"/>
            </w:tcBorders>
            <w:vAlign w:val="bottom"/>
          </w:tcPr>
          <w:p w:rsidR="00F00786" w:rsidRPr="000E20CE" w:rsidRDefault="00F00786" w:rsidP="00F00786">
            <w:pPr>
              <w:jc w:val="center"/>
              <w:rPr>
                <w:szCs w:val="24"/>
              </w:rPr>
            </w:pPr>
            <w:r w:rsidRPr="000E20CE">
              <w:rPr>
                <w:szCs w:val="24"/>
              </w:rPr>
              <w:t>23</w:t>
            </w:r>
          </w:p>
        </w:tc>
      </w:tr>
      <w:tr w:rsidR="00F00786" w:rsidRPr="00554D07" w:rsidTr="000E20CE">
        <w:trPr>
          <w:jc w:val="center"/>
        </w:trPr>
        <w:tc>
          <w:tcPr>
            <w:tcW w:w="3404" w:type="pct"/>
            <w:tcBorders>
              <w:top w:val="single" w:sz="4" w:space="0" w:color="auto"/>
              <w:left w:val="single" w:sz="4" w:space="0" w:color="auto"/>
              <w:bottom w:val="single" w:sz="4" w:space="0" w:color="auto"/>
              <w:right w:val="single" w:sz="4" w:space="0" w:color="auto"/>
            </w:tcBorders>
          </w:tcPr>
          <w:p w:rsidR="00F00786" w:rsidRPr="000E20CE" w:rsidRDefault="00F00786" w:rsidP="00F00786">
            <w:pPr>
              <w:autoSpaceDE w:val="0"/>
              <w:autoSpaceDN w:val="0"/>
              <w:adjustRightInd w:val="0"/>
              <w:rPr>
                <w:szCs w:val="24"/>
              </w:rPr>
            </w:pPr>
            <w:r w:rsidRPr="000E20CE">
              <w:rPr>
                <w:rStyle w:val="Answertextfont"/>
                <w:sz w:val="24"/>
                <w:szCs w:val="24"/>
              </w:rPr>
              <w:t>Material in alternative formats</w:t>
            </w:r>
          </w:p>
        </w:tc>
        <w:tc>
          <w:tcPr>
            <w:tcW w:w="1596" w:type="pct"/>
            <w:tcBorders>
              <w:top w:val="single" w:sz="4" w:space="0" w:color="auto"/>
              <w:left w:val="single" w:sz="4" w:space="0" w:color="auto"/>
              <w:bottom w:val="single" w:sz="4" w:space="0" w:color="auto"/>
              <w:right w:val="single" w:sz="4" w:space="0" w:color="auto"/>
            </w:tcBorders>
            <w:vAlign w:val="bottom"/>
          </w:tcPr>
          <w:p w:rsidR="00F00786" w:rsidRPr="000E20CE" w:rsidRDefault="00F00786" w:rsidP="00F00786">
            <w:pPr>
              <w:jc w:val="center"/>
              <w:rPr>
                <w:szCs w:val="24"/>
              </w:rPr>
            </w:pPr>
            <w:r w:rsidRPr="000E20CE">
              <w:rPr>
                <w:szCs w:val="24"/>
              </w:rPr>
              <w:t>54</w:t>
            </w:r>
          </w:p>
        </w:tc>
      </w:tr>
      <w:tr w:rsidR="00F00786" w:rsidRPr="00554D07" w:rsidTr="000E20CE">
        <w:trPr>
          <w:jc w:val="center"/>
        </w:trPr>
        <w:tc>
          <w:tcPr>
            <w:tcW w:w="3404" w:type="pct"/>
            <w:tcBorders>
              <w:top w:val="single" w:sz="4" w:space="0" w:color="auto"/>
              <w:left w:val="single" w:sz="4" w:space="0" w:color="auto"/>
              <w:bottom w:val="single" w:sz="4" w:space="0" w:color="auto"/>
              <w:right w:val="single" w:sz="4" w:space="0" w:color="auto"/>
            </w:tcBorders>
          </w:tcPr>
          <w:p w:rsidR="00F00786" w:rsidRPr="000E20CE" w:rsidRDefault="00F00786" w:rsidP="00F00786">
            <w:pPr>
              <w:autoSpaceDE w:val="0"/>
              <w:autoSpaceDN w:val="0"/>
              <w:adjustRightInd w:val="0"/>
              <w:rPr>
                <w:szCs w:val="24"/>
              </w:rPr>
            </w:pPr>
            <w:r w:rsidRPr="000E20CE">
              <w:rPr>
                <w:rStyle w:val="Answertextfont"/>
                <w:sz w:val="24"/>
                <w:szCs w:val="24"/>
              </w:rPr>
              <w:t>Ophthalmology services</w:t>
            </w:r>
          </w:p>
        </w:tc>
        <w:tc>
          <w:tcPr>
            <w:tcW w:w="1596" w:type="pct"/>
            <w:tcBorders>
              <w:top w:val="single" w:sz="4" w:space="0" w:color="auto"/>
              <w:left w:val="single" w:sz="4" w:space="0" w:color="auto"/>
              <w:bottom w:val="single" w:sz="4" w:space="0" w:color="auto"/>
              <w:right w:val="single" w:sz="4" w:space="0" w:color="auto"/>
            </w:tcBorders>
            <w:vAlign w:val="bottom"/>
          </w:tcPr>
          <w:p w:rsidR="00F00786" w:rsidRPr="000E20CE" w:rsidRDefault="00F00786" w:rsidP="00F00786">
            <w:pPr>
              <w:jc w:val="center"/>
              <w:rPr>
                <w:szCs w:val="24"/>
              </w:rPr>
            </w:pPr>
            <w:r w:rsidRPr="000E20CE">
              <w:rPr>
                <w:szCs w:val="24"/>
              </w:rPr>
              <w:t>12</w:t>
            </w:r>
          </w:p>
        </w:tc>
      </w:tr>
      <w:tr w:rsidR="00F00786" w:rsidRPr="00554D07" w:rsidTr="000E20CE">
        <w:trPr>
          <w:jc w:val="center"/>
        </w:trPr>
        <w:tc>
          <w:tcPr>
            <w:tcW w:w="3404" w:type="pct"/>
            <w:tcBorders>
              <w:top w:val="single" w:sz="4" w:space="0" w:color="auto"/>
              <w:left w:val="single" w:sz="4" w:space="0" w:color="auto"/>
              <w:bottom w:val="single" w:sz="4" w:space="0" w:color="auto"/>
              <w:right w:val="single" w:sz="4" w:space="0" w:color="auto"/>
            </w:tcBorders>
          </w:tcPr>
          <w:p w:rsidR="00F00786" w:rsidRPr="000E20CE" w:rsidRDefault="00F00786" w:rsidP="00F00786">
            <w:pPr>
              <w:autoSpaceDE w:val="0"/>
              <w:autoSpaceDN w:val="0"/>
              <w:adjustRightInd w:val="0"/>
              <w:rPr>
                <w:szCs w:val="24"/>
              </w:rPr>
            </w:pPr>
            <w:r w:rsidRPr="000E20CE">
              <w:rPr>
                <w:rStyle w:val="Answertextfont"/>
                <w:sz w:val="24"/>
                <w:szCs w:val="24"/>
              </w:rPr>
              <w:t>Optometry services</w:t>
            </w:r>
          </w:p>
        </w:tc>
        <w:tc>
          <w:tcPr>
            <w:tcW w:w="1596" w:type="pct"/>
            <w:tcBorders>
              <w:top w:val="single" w:sz="4" w:space="0" w:color="auto"/>
              <w:left w:val="single" w:sz="4" w:space="0" w:color="auto"/>
              <w:bottom w:val="single" w:sz="4" w:space="0" w:color="auto"/>
              <w:right w:val="single" w:sz="4" w:space="0" w:color="auto"/>
            </w:tcBorders>
            <w:vAlign w:val="bottom"/>
          </w:tcPr>
          <w:p w:rsidR="00F00786" w:rsidRPr="000E20CE" w:rsidRDefault="00F00786" w:rsidP="00F00786">
            <w:pPr>
              <w:jc w:val="center"/>
              <w:rPr>
                <w:szCs w:val="24"/>
              </w:rPr>
            </w:pPr>
            <w:r w:rsidRPr="000E20CE">
              <w:rPr>
                <w:szCs w:val="24"/>
              </w:rPr>
              <w:t>31</w:t>
            </w:r>
          </w:p>
        </w:tc>
      </w:tr>
      <w:tr w:rsidR="00F00786" w:rsidRPr="00554D07" w:rsidTr="000E20CE">
        <w:trPr>
          <w:jc w:val="center"/>
        </w:trPr>
        <w:tc>
          <w:tcPr>
            <w:tcW w:w="3404" w:type="pct"/>
            <w:tcBorders>
              <w:top w:val="single" w:sz="4" w:space="0" w:color="auto"/>
              <w:left w:val="single" w:sz="4" w:space="0" w:color="auto"/>
              <w:bottom w:val="single" w:sz="4" w:space="0" w:color="auto"/>
              <w:right w:val="single" w:sz="4" w:space="0" w:color="auto"/>
            </w:tcBorders>
          </w:tcPr>
          <w:p w:rsidR="00F00786" w:rsidRPr="000E20CE" w:rsidRDefault="00F00786" w:rsidP="00F00786">
            <w:pPr>
              <w:autoSpaceDE w:val="0"/>
              <w:autoSpaceDN w:val="0"/>
              <w:adjustRightInd w:val="0"/>
              <w:rPr>
                <w:szCs w:val="24"/>
              </w:rPr>
            </w:pPr>
            <w:r w:rsidRPr="000E20CE">
              <w:rPr>
                <w:rStyle w:val="Answertextfont"/>
                <w:sz w:val="24"/>
                <w:szCs w:val="24"/>
              </w:rPr>
              <w:t>Orientation and mobility training</w:t>
            </w:r>
          </w:p>
        </w:tc>
        <w:tc>
          <w:tcPr>
            <w:tcW w:w="1596" w:type="pct"/>
            <w:tcBorders>
              <w:top w:val="single" w:sz="4" w:space="0" w:color="auto"/>
              <w:left w:val="single" w:sz="4" w:space="0" w:color="auto"/>
              <w:bottom w:val="single" w:sz="4" w:space="0" w:color="auto"/>
              <w:right w:val="single" w:sz="4" w:space="0" w:color="auto"/>
            </w:tcBorders>
            <w:vAlign w:val="bottom"/>
          </w:tcPr>
          <w:p w:rsidR="00F00786" w:rsidRPr="000E20CE" w:rsidRDefault="00F00786" w:rsidP="00F00786">
            <w:pPr>
              <w:jc w:val="center"/>
              <w:rPr>
                <w:szCs w:val="24"/>
              </w:rPr>
            </w:pPr>
            <w:r w:rsidRPr="000E20CE">
              <w:rPr>
                <w:szCs w:val="24"/>
              </w:rPr>
              <w:t>38</w:t>
            </w:r>
          </w:p>
        </w:tc>
      </w:tr>
      <w:tr w:rsidR="00F00786" w:rsidRPr="00554D07" w:rsidTr="000E20CE">
        <w:trPr>
          <w:jc w:val="center"/>
        </w:trPr>
        <w:tc>
          <w:tcPr>
            <w:tcW w:w="3404" w:type="pct"/>
            <w:tcBorders>
              <w:top w:val="single" w:sz="4" w:space="0" w:color="auto"/>
              <w:left w:val="single" w:sz="4" w:space="0" w:color="auto"/>
              <w:bottom w:val="single" w:sz="4" w:space="0" w:color="auto"/>
              <w:right w:val="single" w:sz="4" w:space="0" w:color="auto"/>
            </w:tcBorders>
          </w:tcPr>
          <w:p w:rsidR="00F00786" w:rsidRPr="000E20CE" w:rsidRDefault="00F00786" w:rsidP="000E20CE">
            <w:pPr>
              <w:autoSpaceDE w:val="0"/>
              <w:autoSpaceDN w:val="0"/>
              <w:adjustRightInd w:val="0"/>
              <w:rPr>
                <w:rStyle w:val="Answertextfont"/>
                <w:sz w:val="24"/>
                <w:szCs w:val="24"/>
              </w:rPr>
            </w:pPr>
            <w:r w:rsidRPr="000E20CE">
              <w:rPr>
                <w:rStyle w:val="Answertextfont"/>
                <w:sz w:val="24"/>
                <w:szCs w:val="24"/>
              </w:rPr>
              <w:t>Other</w:t>
            </w:r>
            <w:r w:rsidR="000E20CE">
              <w:rPr>
                <w:rStyle w:val="FootnoteReference"/>
                <w:szCs w:val="24"/>
              </w:rPr>
              <w:footnoteReference w:id="17"/>
            </w:r>
          </w:p>
        </w:tc>
        <w:tc>
          <w:tcPr>
            <w:tcW w:w="1596" w:type="pct"/>
            <w:tcBorders>
              <w:top w:val="single" w:sz="4" w:space="0" w:color="auto"/>
              <w:left w:val="single" w:sz="4" w:space="0" w:color="auto"/>
              <w:bottom w:val="single" w:sz="4" w:space="0" w:color="auto"/>
              <w:right w:val="single" w:sz="4" w:space="0" w:color="auto"/>
            </w:tcBorders>
            <w:vAlign w:val="bottom"/>
          </w:tcPr>
          <w:p w:rsidR="00F00786" w:rsidRPr="000E20CE" w:rsidRDefault="00F00786" w:rsidP="00F00786">
            <w:pPr>
              <w:jc w:val="center"/>
              <w:rPr>
                <w:szCs w:val="24"/>
              </w:rPr>
            </w:pPr>
            <w:r w:rsidRPr="000E20CE">
              <w:rPr>
                <w:szCs w:val="24"/>
              </w:rPr>
              <w:t>23</w:t>
            </w:r>
          </w:p>
        </w:tc>
      </w:tr>
      <w:tr w:rsidR="00F00786" w:rsidRPr="00554D07" w:rsidTr="000E20CE">
        <w:trPr>
          <w:jc w:val="center"/>
        </w:trPr>
        <w:tc>
          <w:tcPr>
            <w:tcW w:w="3404" w:type="pct"/>
            <w:tcBorders>
              <w:top w:val="single" w:sz="4" w:space="0" w:color="auto"/>
              <w:left w:val="single" w:sz="4" w:space="0" w:color="auto"/>
              <w:bottom w:val="single" w:sz="4" w:space="0" w:color="auto"/>
              <w:right w:val="single" w:sz="4" w:space="0" w:color="auto"/>
            </w:tcBorders>
          </w:tcPr>
          <w:p w:rsidR="00F00786" w:rsidRPr="000E20CE" w:rsidRDefault="00F00786" w:rsidP="00F00786">
            <w:pPr>
              <w:autoSpaceDE w:val="0"/>
              <w:autoSpaceDN w:val="0"/>
              <w:adjustRightInd w:val="0"/>
              <w:rPr>
                <w:szCs w:val="24"/>
              </w:rPr>
            </w:pPr>
            <w:r w:rsidRPr="000E20CE">
              <w:rPr>
                <w:rStyle w:val="Answertextfont"/>
                <w:sz w:val="24"/>
                <w:szCs w:val="24"/>
              </w:rPr>
              <w:t>Recreation and leisure activities</w:t>
            </w:r>
          </w:p>
        </w:tc>
        <w:tc>
          <w:tcPr>
            <w:tcW w:w="1596" w:type="pct"/>
            <w:tcBorders>
              <w:top w:val="single" w:sz="4" w:space="0" w:color="auto"/>
              <w:left w:val="single" w:sz="4" w:space="0" w:color="auto"/>
              <w:bottom w:val="single" w:sz="4" w:space="0" w:color="auto"/>
              <w:right w:val="single" w:sz="4" w:space="0" w:color="auto"/>
            </w:tcBorders>
            <w:vAlign w:val="bottom"/>
          </w:tcPr>
          <w:p w:rsidR="00F00786" w:rsidRPr="000E20CE" w:rsidRDefault="00F00786" w:rsidP="00F00786">
            <w:pPr>
              <w:jc w:val="center"/>
              <w:rPr>
                <w:szCs w:val="24"/>
              </w:rPr>
            </w:pPr>
            <w:r w:rsidRPr="000E20CE">
              <w:rPr>
                <w:szCs w:val="24"/>
              </w:rPr>
              <w:t>46</w:t>
            </w:r>
          </w:p>
        </w:tc>
      </w:tr>
      <w:tr w:rsidR="00F00786" w:rsidRPr="00554D07" w:rsidTr="000E20CE">
        <w:trPr>
          <w:jc w:val="center"/>
        </w:trPr>
        <w:tc>
          <w:tcPr>
            <w:tcW w:w="3404" w:type="pct"/>
            <w:tcBorders>
              <w:top w:val="single" w:sz="4" w:space="0" w:color="auto"/>
              <w:left w:val="single" w:sz="4" w:space="0" w:color="auto"/>
              <w:bottom w:val="single" w:sz="4" w:space="0" w:color="auto"/>
              <w:right w:val="single" w:sz="4" w:space="0" w:color="auto"/>
            </w:tcBorders>
          </w:tcPr>
          <w:p w:rsidR="00F00786" w:rsidRPr="000E20CE" w:rsidRDefault="00F00786" w:rsidP="00F00786">
            <w:pPr>
              <w:autoSpaceDE w:val="0"/>
              <w:autoSpaceDN w:val="0"/>
              <w:adjustRightInd w:val="0"/>
              <w:rPr>
                <w:szCs w:val="24"/>
              </w:rPr>
            </w:pPr>
            <w:r w:rsidRPr="000E20CE">
              <w:rPr>
                <w:rStyle w:val="Answertextfont"/>
                <w:sz w:val="24"/>
                <w:szCs w:val="24"/>
              </w:rPr>
              <w:t>Research</w:t>
            </w:r>
          </w:p>
        </w:tc>
        <w:tc>
          <w:tcPr>
            <w:tcW w:w="1596" w:type="pct"/>
            <w:tcBorders>
              <w:top w:val="single" w:sz="4" w:space="0" w:color="auto"/>
              <w:left w:val="single" w:sz="4" w:space="0" w:color="auto"/>
              <w:bottom w:val="single" w:sz="4" w:space="0" w:color="auto"/>
              <w:right w:val="single" w:sz="4" w:space="0" w:color="auto"/>
            </w:tcBorders>
            <w:vAlign w:val="bottom"/>
          </w:tcPr>
          <w:p w:rsidR="00F00786" w:rsidRPr="000E20CE" w:rsidRDefault="00F00786" w:rsidP="00F00786">
            <w:pPr>
              <w:jc w:val="center"/>
              <w:rPr>
                <w:szCs w:val="24"/>
              </w:rPr>
            </w:pPr>
            <w:r w:rsidRPr="000E20CE">
              <w:rPr>
                <w:szCs w:val="24"/>
              </w:rPr>
              <w:t>35</w:t>
            </w:r>
          </w:p>
        </w:tc>
      </w:tr>
    </w:tbl>
    <w:p w:rsidR="00EE106B" w:rsidRPr="00EE106B" w:rsidRDefault="00EE106B" w:rsidP="000E20CE">
      <w:pPr>
        <w:pStyle w:val="Heading3"/>
      </w:pPr>
      <w:bookmarkStart w:id="60" w:name="_Toc428361021"/>
      <w:bookmarkStart w:id="61" w:name="_Toc428362762"/>
      <w:r w:rsidRPr="00EE106B">
        <w:t>Demand pressures and the most utilised services</w:t>
      </w:r>
      <w:bookmarkEnd w:id="60"/>
      <w:bookmarkEnd w:id="61"/>
    </w:p>
    <w:p w:rsidR="00EE106B" w:rsidRPr="00EE106B" w:rsidRDefault="00EE106B" w:rsidP="00EE106B">
      <w:r w:rsidRPr="00EE106B">
        <w:t>The sector is currently experiencing demand pressures. For the 12 months following the survey, across all service types the majority of respondents expected that demand would increase.</w:t>
      </w:r>
    </w:p>
    <w:p w:rsidR="00EE106B" w:rsidRPr="00EE106B" w:rsidRDefault="00EE106B" w:rsidP="00EE106B">
      <w:r w:rsidRPr="00EE106B">
        <w:t>Almost all (86 per cent) respondents that delivered activities of daily living re</w:t>
      </w:r>
      <w:r w:rsidR="000E20CE">
        <w:t xml:space="preserve">ported that the level of demand </w:t>
      </w:r>
      <w:r w:rsidRPr="00EE106B">
        <w:t>for that service had ex</w:t>
      </w:r>
      <w:r w:rsidR="000E20CE">
        <w:t xml:space="preserve">ceeded capacity over the course </w:t>
      </w:r>
      <w:r w:rsidRPr="00EE106B">
        <w:t>of 2013. This was</w:t>
      </w:r>
      <w:r w:rsidR="000E20CE">
        <w:t xml:space="preserve"> followed by organisations that </w:t>
      </w:r>
      <w:r w:rsidRPr="00EE106B">
        <w:t>delivered employment se</w:t>
      </w:r>
      <w:r w:rsidR="000E20CE">
        <w:t xml:space="preserve">rvices (67 per cent), education </w:t>
      </w:r>
      <w:r w:rsidRPr="00EE106B">
        <w:t>support (64 per cent) and optometry</w:t>
      </w:r>
      <w:r w:rsidR="000E20CE">
        <w:t xml:space="preserve"> services (60 per </w:t>
      </w:r>
      <w:r w:rsidRPr="00EE106B">
        <w:t xml:space="preserve">cent). In contrast, only 22 per cent of organisations that delivered material </w:t>
      </w:r>
      <w:r w:rsidR="000E20CE">
        <w:t xml:space="preserve">in alternative formats reported </w:t>
      </w:r>
      <w:r w:rsidRPr="00EE106B">
        <w:t xml:space="preserve">that demand </w:t>
      </w:r>
      <w:r w:rsidR="000E20CE">
        <w:t xml:space="preserve">for these services had exceeded </w:t>
      </w:r>
      <w:r w:rsidRPr="00EE106B">
        <w:t>their capacity, while 21 per cent of services that delivered aids, equipment and ass</w:t>
      </w:r>
      <w:r w:rsidR="000E20CE">
        <w:t xml:space="preserve">istive </w:t>
      </w:r>
      <w:r w:rsidRPr="00EE106B">
        <w:t>technology reported that capacity had exceeded demand.</w:t>
      </w:r>
    </w:p>
    <w:p w:rsidR="00EE106B" w:rsidRPr="00EE106B" w:rsidRDefault="00EE106B" w:rsidP="00EE106B">
      <w:r w:rsidRPr="00EE106B">
        <w:t xml:space="preserve">While aids, equipment and assistive technology is a growing service, uptake could be affected by cost and out of pocket expenses. Aids, equipment and assistive technology services were both the most likely service to have spare capacity and the most likely to have had out-of-pocket expenses. </w:t>
      </w:r>
    </w:p>
    <w:p w:rsidR="00EE106B" w:rsidRPr="00EE106B" w:rsidRDefault="00EE106B" w:rsidP="00D520F1">
      <w:pPr>
        <w:pStyle w:val="Heading4"/>
      </w:pPr>
      <w:bookmarkStart w:id="62" w:name="_Toc428362763"/>
      <w:r w:rsidRPr="00EE106B">
        <w:lastRenderedPageBreak/>
        <w:t>Current expected wait time for services</w:t>
      </w:r>
      <w:bookmarkEnd w:id="62"/>
    </w:p>
    <w:p w:rsidR="00EE106B" w:rsidRPr="00EE106B" w:rsidRDefault="00EE106B" w:rsidP="00EE106B">
      <w:r w:rsidRPr="00EE106B">
        <w:t>The greatest wait time clients experience is for guide dogs (on average a client has to wait 27 weeks as dogs are specifically matched to clients). Waiting times for counselling averaged almost 14 weeks, and recreation and leisure activities six weeks. Wait times for the majority of services were five or fewer weeks.</w:t>
      </w:r>
    </w:p>
    <w:p w:rsidR="00EE106B" w:rsidRPr="00EE106B" w:rsidRDefault="00EE106B" w:rsidP="000E20CE">
      <w:pPr>
        <w:pStyle w:val="Heading4"/>
      </w:pPr>
      <w:bookmarkStart w:id="63" w:name="_Toc428362764"/>
      <w:r w:rsidRPr="00EE106B">
        <w:t>How demand has changed over the past year</w:t>
      </w:r>
      <w:bookmarkEnd w:id="63"/>
    </w:p>
    <w:p w:rsidR="000E20CE" w:rsidRDefault="00EE106B" w:rsidP="00EE106B">
      <w:r w:rsidRPr="00EE106B">
        <w:t xml:space="preserve">As </w:t>
      </w:r>
      <w:r w:rsidRPr="000E20CE">
        <w:rPr>
          <w:b/>
        </w:rPr>
        <w:t>Table 3</w:t>
      </w:r>
      <w:r w:rsidRPr="00EE106B">
        <w:t xml:space="preserve"> below shows, all responding organisations that provided activities of daily living reported that demand for this service had increased over the 12 months prior to being surveyed, and 93 per cent of organisations said demand for aids, equipment and assistive technology increased. All organisations that offer counselling reported an increase in demand.</w:t>
      </w:r>
    </w:p>
    <w:p w:rsidR="000E20CE" w:rsidRPr="00225F14" w:rsidRDefault="000E20CE" w:rsidP="00D520F1">
      <w:r>
        <w:br w:type="page"/>
      </w:r>
      <w:r w:rsidR="00EE106B" w:rsidRPr="00D520F1">
        <w:rPr>
          <w:b/>
        </w:rPr>
        <w:lastRenderedPageBreak/>
        <w:t xml:space="preserve">Table </w:t>
      </w:r>
      <w:r w:rsidR="008D40E2">
        <w:rPr>
          <w:b/>
        </w:rPr>
        <w:t>3</w:t>
      </w:r>
      <w:r w:rsidR="00EE106B" w:rsidRPr="00D520F1">
        <w:rPr>
          <w:b/>
        </w:rPr>
        <w:t>: How demand has c</w:t>
      </w:r>
      <w:r w:rsidRPr="00D520F1">
        <w:rPr>
          <w:b/>
        </w:rPr>
        <w:t xml:space="preserve">hanged over the past 12 months </w:t>
      </w:r>
      <w:r w:rsidR="00EE106B" w:rsidRPr="00D520F1">
        <w:rPr>
          <w:b/>
        </w:rPr>
        <w:t xml:space="preserve">(A description of this bar chart is provided at </w:t>
      </w:r>
      <w:hyperlink w:anchor="Title" w:history="1">
        <w:r w:rsidR="00EE106B" w:rsidRPr="00265F30">
          <w:rPr>
            <w:rStyle w:val="Hyperlink"/>
            <w:b/>
          </w:rPr>
          <w:t>Appendix A</w:t>
        </w:r>
      </w:hyperlink>
      <w:r w:rsidR="00EE106B" w:rsidRPr="00D520F1">
        <w:rPr>
          <w:b/>
        </w:rPr>
        <w:t>).</w:t>
      </w:r>
      <w:r w:rsidRPr="00D520F1">
        <w:rPr>
          <w:b/>
          <w:noProof/>
        </w:rPr>
        <w:t xml:space="preserve"> </w:t>
      </w:r>
    </w:p>
    <w:p w:rsidR="00EE106B" w:rsidRPr="00F32568" w:rsidRDefault="000E20CE" w:rsidP="00D520F1">
      <w:pPr>
        <w:rPr>
          <w:noProof/>
        </w:rPr>
      </w:pPr>
      <w:r w:rsidRPr="00D520F1">
        <w:rPr>
          <w:noProof/>
          <w:lang w:eastAsia="en-AU"/>
        </w:rPr>
        <w:drawing>
          <wp:inline distT="0" distB="0" distL="0" distR="0" wp14:anchorId="140C1D2F" wp14:editId="2FC84082">
            <wp:extent cx="5943600" cy="4019550"/>
            <wp:effectExtent l="0" t="0" r="19050" b="19050"/>
            <wp:docPr id="5" name="Chart 5" descr="This bar chart depicts the data received in the&#10;survey of participating organisations from the blindness and low vision sector. " title="How demand has changed over the past year"/>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EE106B" w:rsidRPr="00DB5DDD" w:rsidRDefault="00EE106B" w:rsidP="00DB5DDD">
      <w:pPr>
        <w:pStyle w:val="Heading3"/>
      </w:pPr>
      <w:bookmarkStart w:id="64" w:name="_Toc428361022"/>
      <w:bookmarkStart w:id="65" w:name="_Toc428362765"/>
      <w:r w:rsidRPr="00DB5DDD">
        <w:t xml:space="preserve">Demand and </w:t>
      </w:r>
      <w:r w:rsidRPr="00DB5DDD">
        <w:rPr>
          <w:rStyle w:val="Heading2Char"/>
          <w:bCs/>
          <w:sz w:val="28"/>
          <w:szCs w:val="22"/>
        </w:rPr>
        <w:t>supply</w:t>
      </w:r>
      <w:r w:rsidRPr="00DB5DDD">
        <w:t xml:space="preserve"> in the sector</w:t>
      </w:r>
      <w:bookmarkEnd w:id="64"/>
      <w:bookmarkEnd w:id="65"/>
    </w:p>
    <w:p w:rsidR="00EE106B" w:rsidRPr="00EE106B" w:rsidRDefault="00EE106B" w:rsidP="00EE106B">
      <w:r w:rsidRPr="00EE106B">
        <w:t>More than one-quarter (27 per cent) of orga</w:t>
      </w:r>
      <w:r w:rsidR="00DB5DDD">
        <w:t xml:space="preserve">nisations </w:t>
      </w:r>
      <w:r w:rsidRPr="00EE106B">
        <w:t>reported that they have had to refuse services to clients. Organisations that reported they had not been able to meet demand cited a lack of financial resources to hire staff, or being unable to pay staff to work longer hours as the main impediments. This was common across all service types.</w:t>
      </w:r>
    </w:p>
    <w:p w:rsidR="00EE106B" w:rsidRPr="00EE106B" w:rsidRDefault="00EE106B" w:rsidP="00EE106B">
      <w:r w:rsidRPr="00EE106B">
        <w:t>Of all organisations, 60 per cent reported ‘current staff working additio</w:t>
      </w:r>
      <w:r w:rsidR="00DB5DDD">
        <w:t xml:space="preserve">nal hours’ as the main response </w:t>
      </w:r>
      <w:r w:rsidRPr="00EE106B">
        <w:t xml:space="preserve">to attempts to meet increasing demand. In addition, more than half (53 per cent) of respondents reported longer waiting lists, or that resources were reallocated for another area of the organisation. </w:t>
      </w:r>
    </w:p>
    <w:p w:rsidR="00EE106B" w:rsidRPr="00EE106B" w:rsidRDefault="00EE106B" w:rsidP="00EE106B">
      <w:r w:rsidRPr="00EE106B">
        <w:t>Note: Only those that said they had unmet demand we</w:t>
      </w:r>
      <w:r w:rsidR="00DB5DDD">
        <w:t xml:space="preserve">re asked these questions. Large </w:t>
      </w:r>
      <w:r w:rsidRPr="00EE106B">
        <w:t>organisations were more likely to require staff to increase client contact h</w:t>
      </w:r>
      <w:r w:rsidR="00DB5DDD">
        <w:t xml:space="preserve">ours. Small </w:t>
      </w:r>
      <w:r w:rsidRPr="00EE106B">
        <w:t>organisations were more likely to refuse services.</w:t>
      </w:r>
    </w:p>
    <w:p w:rsidR="00EE106B" w:rsidRPr="00EE106B" w:rsidRDefault="00EE106B" w:rsidP="00DB5DDD">
      <w:pPr>
        <w:pStyle w:val="Heading3"/>
      </w:pPr>
      <w:bookmarkStart w:id="66" w:name="_Toc428361023"/>
      <w:bookmarkStart w:id="67" w:name="_Toc428362766"/>
      <w:r w:rsidRPr="00EE106B">
        <w:t>Funding arrangements – high reliance on community goodwill to run services</w:t>
      </w:r>
      <w:bookmarkEnd w:id="66"/>
      <w:bookmarkEnd w:id="67"/>
    </w:p>
    <w:p w:rsidR="00EE106B" w:rsidRPr="00EE106B" w:rsidRDefault="00EE106B" w:rsidP="00EE106B">
      <w:r w:rsidRPr="00EE106B">
        <w:t xml:space="preserve">The aggregate operating budget for the organisations was $188.2 million. The greatest proportion of income at 43 per cent (nearly $81 million) was generated by fundraising and bequests, with a further 18 per cent from sales ($34.4 million) and nine per cent ($17.1 million) </w:t>
      </w:r>
      <w:r w:rsidRPr="00EE106B">
        <w:lastRenderedPageBreak/>
        <w:t xml:space="preserve">from investments, grants and other sources. Income from all government sources amounted to 30 per cent at $56 million. </w:t>
      </w:r>
    </w:p>
    <w:p w:rsidR="00EE106B" w:rsidRPr="00EE106B" w:rsidRDefault="00EE106B" w:rsidP="00DB5DDD">
      <w:pPr>
        <w:pStyle w:val="Heading4"/>
      </w:pPr>
      <w:bookmarkStart w:id="68" w:name="_Toc428362767"/>
      <w:r w:rsidRPr="00EE106B">
        <w:t>Out-of-pocket expenses incurred by clients</w:t>
      </w:r>
      <w:bookmarkEnd w:id="68"/>
    </w:p>
    <w:p w:rsidR="00EE106B" w:rsidRPr="00EE106B" w:rsidRDefault="00EE106B" w:rsidP="00EE106B">
      <w:r w:rsidRPr="00EE106B">
        <w:t xml:space="preserve">Clients may have had out of pocket expenses due to the cost of purchasing aids, equipment and assistive technology, for training or for access to services. Across all service types, some clients had experienced out-of-pocket expenses. </w:t>
      </w:r>
    </w:p>
    <w:p w:rsidR="00EE106B" w:rsidRPr="00EE106B" w:rsidRDefault="00EE106B" w:rsidP="00EE106B">
      <w:r w:rsidRPr="00EE106B">
        <w:t>Aids and equi</w:t>
      </w:r>
      <w:r w:rsidR="00DB5DDD">
        <w:t xml:space="preserve">pment were most likely to have </w:t>
      </w:r>
      <w:r w:rsidRPr="00EE106B">
        <w:t xml:space="preserve">health care rebates. From the data received regarding all the service types, there appears to be a lot of uncertainty regarding what is and is not covered by health care rebates. This area requires deeper investigation to understand the availability of rebates. </w:t>
      </w:r>
    </w:p>
    <w:p w:rsidR="00EE106B" w:rsidRPr="00EE106B" w:rsidRDefault="00EE106B" w:rsidP="00DB5DDD">
      <w:pPr>
        <w:pStyle w:val="Heading3"/>
      </w:pPr>
      <w:bookmarkStart w:id="69" w:name="_Toc428361024"/>
      <w:bookmarkStart w:id="70" w:name="_Toc428362768"/>
      <w:r w:rsidRPr="00EE106B">
        <w:t>Geographic area of service delivery</w:t>
      </w:r>
      <w:bookmarkEnd w:id="69"/>
      <w:bookmarkEnd w:id="70"/>
    </w:p>
    <w:p w:rsidR="00EE106B" w:rsidRPr="00EE106B" w:rsidRDefault="00EE106B" w:rsidP="00EE106B">
      <w:r w:rsidRPr="00EE106B">
        <w:t xml:space="preserve">Services are delivered in all states and territories of Australia. All organisations delivered services in metro and regional areas, and most (87 per cent) provided services in remote areas. A lower proportion of organisations delivered employment services, fundraising and recreation and leisure activities to remote areas (50 per cent, 42 per cent and 30 per cent respectively). More than half (54 per cent) of organisations provide in-home services. </w:t>
      </w:r>
    </w:p>
    <w:p w:rsidR="00EE106B" w:rsidRPr="00EE106B" w:rsidRDefault="00EE106B" w:rsidP="00DB5DDD">
      <w:pPr>
        <w:pStyle w:val="Heading3"/>
      </w:pPr>
      <w:bookmarkStart w:id="71" w:name="_Toc428361025"/>
      <w:bookmarkStart w:id="72" w:name="_Toc428362769"/>
      <w:r w:rsidRPr="00EE106B">
        <w:t>Groups in greatest need of services</w:t>
      </w:r>
      <w:bookmarkEnd w:id="71"/>
      <w:bookmarkEnd w:id="72"/>
    </w:p>
    <w:p w:rsidR="00EE106B" w:rsidRPr="00EE106B" w:rsidRDefault="00EE106B" w:rsidP="00EE106B">
      <w:r w:rsidRPr="00EE106B">
        <w:t>Respondents were asked to identify which client groups were in greatest need of additional blindness, low vision and rehabilitation services. The response from 61 per cent of organisations was ‘specific age groups’, with most indicating the age group 65 years or over, followed by children (and young people) aged less than 18 years.</w:t>
      </w:r>
    </w:p>
    <w:p w:rsidR="00EE106B" w:rsidRPr="00EE106B" w:rsidRDefault="00EE106B" w:rsidP="00EE106B">
      <w:r w:rsidRPr="00EE106B">
        <w:t>Other responses included specific service groups (orientation and mobility, activities of daily living), remote populations, Aboriginal and Torres Strait Islander people and culturally and linguistically diverse groups.</w:t>
      </w:r>
    </w:p>
    <w:p w:rsidR="00EE106B" w:rsidRPr="00EE106B" w:rsidRDefault="00EE106B" w:rsidP="00DB5DDD">
      <w:pPr>
        <w:pStyle w:val="Heading3"/>
      </w:pPr>
      <w:bookmarkStart w:id="73" w:name="_Toc428361026"/>
      <w:bookmarkStart w:id="74" w:name="_Toc428362770"/>
      <w:r w:rsidRPr="00EE106B">
        <w:t>The NDIS</w:t>
      </w:r>
      <w:bookmarkEnd w:id="73"/>
      <w:bookmarkEnd w:id="74"/>
    </w:p>
    <w:p w:rsidR="00EE106B" w:rsidRPr="00EE106B" w:rsidRDefault="00EE106B" w:rsidP="00EE106B">
      <w:r w:rsidRPr="00EE106B">
        <w:t>Respondents were a</w:t>
      </w:r>
      <w:r w:rsidR="00DB5DDD">
        <w:t xml:space="preserve">sked to consider the impact and </w:t>
      </w:r>
      <w:r w:rsidRPr="00EE106B">
        <w:t>benefits to their organisation of the introduc</w:t>
      </w:r>
      <w:r w:rsidR="00DB5DDD">
        <w:t xml:space="preserve">tion of </w:t>
      </w:r>
      <w:r w:rsidRPr="00EE106B">
        <w:t>the NDIS. Responses to the potential impact included:</w:t>
      </w:r>
    </w:p>
    <w:p w:rsidR="00EE106B" w:rsidRPr="00EE106B" w:rsidRDefault="00EE106B" w:rsidP="00DB5DDD">
      <w:pPr>
        <w:pStyle w:val="ListParagraph"/>
        <w:numPr>
          <w:ilvl w:val="0"/>
          <w:numId w:val="31"/>
        </w:numPr>
      </w:pPr>
      <w:r w:rsidRPr="00EE106B">
        <w:t>additional administration</w:t>
      </w:r>
    </w:p>
    <w:p w:rsidR="00EE106B" w:rsidRPr="00EE106B" w:rsidRDefault="00EE106B" w:rsidP="00DB5DDD">
      <w:pPr>
        <w:pStyle w:val="ListParagraph"/>
        <w:numPr>
          <w:ilvl w:val="0"/>
          <w:numId w:val="31"/>
        </w:numPr>
      </w:pPr>
      <w:r w:rsidRPr="00EE106B">
        <w:t>increased competition for services</w:t>
      </w:r>
    </w:p>
    <w:p w:rsidR="00EE106B" w:rsidRPr="00EE106B" w:rsidRDefault="00EE106B" w:rsidP="00DB5DDD">
      <w:pPr>
        <w:pStyle w:val="ListParagraph"/>
        <w:numPr>
          <w:ilvl w:val="0"/>
          <w:numId w:val="31"/>
        </w:numPr>
      </w:pPr>
      <w:r w:rsidRPr="00EE106B">
        <w:t>increased need for support information</w:t>
      </w:r>
    </w:p>
    <w:p w:rsidR="00EE106B" w:rsidRPr="00EE106B" w:rsidRDefault="00EE106B" w:rsidP="00DB5DDD">
      <w:pPr>
        <w:pStyle w:val="ListParagraph"/>
        <w:numPr>
          <w:ilvl w:val="0"/>
          <w:numId w:val="31"/>
        </w:numPr>
      </w:pPr>
      <w:r w:rsidRPr="00EE106B">
        <w:t>increased opport</w:t>
      </w:r>
      <w:r w:rsidR="00DB5DDD">
        <w:t xml:space="preserve">unities for people aged under  </w:t>
      </w:r>
      <w:r w:rsidRPr="00EE106B">
        <w:t>65 years, although clients over 65 may</w:t>
      </w:r>
      <w:r w:rsidR="00DB5DDD">
        <w:t xml:space="preserve"> get a </w:t>
      </w:r>
      <w:r w:rsidRPr="00EE106B">
        <w:t>reduction in services as we service the NDIS</w:t>
      </w:r>
    </w:p>
    <w:p w:rsidR="00EE106B" w:rsidRPr="00EE106B" w:rsidRDefault="00EE106B" w:rsidP="00DB5DDD">
      <w:pPr>
        <w:pStyle w:val="ListParagraph"/>
        <w:numPr>
          <w:ilvl w:val="0"/>
          <w:numId w:val="31"/>
        </w:numPr>
      </w:pPr>
      <w:r w:rsidRPr="00EE106B">
        <w:t>concern about a</w:t>
      </w:r>
      <w:r w:rsidR="00DB5DDD">
        <w:t xml:space="preserve">dequate training for National </w:t>
      </w:r>
      <w:r w:rsidRPr="00EE106B">
        <w:t xml:space="preserve">Disability Insurance </w:t>
      </w:r>
      <w:r w:rsidR="00DB5DDD">
        <w:t xml:space="preserve">Agency staff to understand the </w:t>
      </w:r>
      <w:r w:rsidRPr="00EE106B">
        <w:t>requirements and services available for people</w:t>
      </w:r>
    </w:p>
    <w:p w:rsidR="00EE106B" w:rsidRPr="00EE106B" w:rsidRDefault="00EE106B" w:rsidP="00DB5DDD">
      <w:pPr>
        <w:pStyle w:val="ListParagraph"/>
        <w:numPr>
          <w:ilvl w:val="0"/>
          <w:numId w:val="31"/>
        </w:numPr>
      </w:pPr>
      <w:r w:rsidRPr="00EE106B">
        <w:t xml:space="preserve">the requirement </w:t>
      </w:r>
      <w:r w:rsidR="00DB5DDD">
        <w:t xml:space="preserve">of a higher degree of service </w:t>
      </w:r>
      <w:r w:rsidRPr="00EE106B">
        <w:t>flexibility and responsiveness</w:t>
      </w:r>
    </w:p>
    <w:p w:rsidR="00EE106B" w:rsidRPr="00EE106B" w:rsidRDefault="00EE106B" w:rsidP="00DB5DDD">
      <w:pPr>
        <w:pStyle w:val="ListParagraph"/>
        <w:numPr>
          <w:ilvl w:val="0"/>
          <w:numId w:val="31"/>
        </w:numPr>
      </w:pPr>
      <w:r w:rsidRPr="00EE106B">
        <w:t>impact on reducing donations from public</w:t>
      </w:r>
    </w:p>
    <w:p w:rsidR="00EE106B" w:rsidRPr="00EE106B" w:rsidRDefault="00EE106B" w:rsidP="00DB5DDD">
      <w:pPr>
        <w:pStyle w:val="ListParagraph"/>
        <w:numPr>
          <w:ilvl w:val="0"/>
          <w:numId w:val="31"/>
        </w:numPr>
      </w:pPr>
      <w:r w:rsidRPr="00EE106B">
        <w:lastRenderedPageBreak/>
        <w:t>potential change</w:t>
      </w:r>
      <w:r w:rsidR="00DB5DDD">
        <w:t xml:space="preserve"> to waiting time for services </w:t>
      </w:r>
      <w:r w:rsidRPr="00EE106B">
        <w:t>(both increased and decreased)</w:t>
      </w:r>
    </w:p>
    <w:p w:rsidR="00EE106B" w:rsidRPr="00EE106B" w:rsidRDefault="00EE106B" w:rsidP="00DB5DDD">
      <w:pPr>
        <w:pStyle w:val="ListParagraph"/>
        <w:numPr>
          <w:ilvl w:val="0"/>
          <w:numId w:val="31"/>
        </w:numPr>
      </w:pPr>
      <w:r w:rsidRPr="00EE106B">
        <w:t>greater requirement for the marketing of services</w:t>
      </w:r>
    </w:p>
    <w:p w:rsidR="00EE106B" w:rsidRPr="00EE106B" w:rsidRDefault="00EE106B" w:rsidP="00DB5DDD">
      <w:pPr>
        <w:pStyle w:val="ListParagraph"/>
        <w:numPr>
          <w:ilvl w:val="0"/>
          <w:numId w:val="31"/>
        </w:numPr>
      </w:pPr>
      <w:r w:rsidRPr="00EE106B">
        <w:t>potential for lack of cohesive strategy in service</w:t>
      </w:r>
      <w:r w:rsidR="00DB5DDD">
        <w:t xml:space="preserve"> </w:t>
      </w:r>
      <w:r w:rsidRPr="00EE106B">
        <w:t xml:space="preserve">delivery – service </w:t>
      </w:r>
      <w:r w:rsidR="00DB5DDD">
        <w:t xml:space="preserve">recipients do not necessarily </w:t>
      </w:r>
      <w:r w:rsidRPr="00EE106B">
        <w:t xml:space="preserve">identify with </w:t>
      </w:r>
      <w:r w:rsidR="00DB5DDD">
        <w:t xml:space="preserve">what they need (as opposed to </w:t>
      </w:r>
      <w:r w:rsidRPr="00EE106B">
        <w:t>what they want).</w:t>
      </w:r>
    </w:p>
    <w:p w:rsidR="00EE106B" w:rsidRPr="00EE106B" w:rsidRDefault="00EE106B" w:rsidP="00EE106B">
      <w:r w:rsidRPr="00EE106B">
        <w:t>With regard to benefits, a large number of responses focused on the opportunity for better provision of services and better access, including greater access to a broader range of services, the opportunity for increased income and the underpinning philosophy of fostering empowerment for people who are blind or vision impaired.</w:t>
      </w:r>
    </w:p>
    <w:p w:rsidR="00EE106B" w:rsidRPr="00EE106B" w:rsidRDefault="00EE106B" w:rsidP="00EE106B">
      <w:r w:rsidRPr="00EE106B">
        <w:t>“We support the NDIS but people with blindness or low vision are getting low packages out of the NDIS, less than half of $14,000 base amount. The aged care system is not set up to deal with disability in aged care.”</w:t>
      </w:r>
    </w:p>
    <w:p w:rsidR="00EE106B" w:rsidRPr="00EE106B" w:rsidRDefault="00EE106B" w:rsidP="00DB5DDD">
      <w:pPr>
        <w:pStyle w:val="Heading3"/>
      </w:pPr>
      <w:bookmarkStart w:id="75" w:name="_Toc428361027"/>
      <w:bookmarkStart w:id="76" w:name="_Toc428362771"/>
      <w:r w:rsidRPr="00EE106B">
        <w:t>Aged care</w:t>
      </w:r>
      <w:bookmarkEnd w:id="75"/>
      <w:bookmarkEnd w:id="76"/>
    </w:p>
    <w:p w:rsidR="00EE106B" w:rsidRPr="00EE106B" w:rsidRDefault="00EE106B" w:rsidP="00EE106B">
      <w:r w:rsidRPr="00EE106B">
        <w:t>The data is clear that people aged 65 years and over</w:t>
      </w:r>
      <w:r w:rsidRPr="00EE106B">
        <w:br/>
        <w:t>are the main recipients of services in the blindness and low vision sector. The results reiterate the urgency</w:t>
      </w:r>
      <w:r w:rsidRPr="00EE106B">
        <w:br/>
        <w:t>for the needs of older Australians who are blind or vision impaired to be recognised in the aged care and NDIS systems. In particular, there needs to be greater coordination in aged care, health and disability policy to ensure that specialist services for older Australians who are blind or vision impaired are recognised and provided the funding allocation required to enable these specialist services.</w:t>
      </w:r>
    </w:p>
    <w:p w:rsidR="00EE106B" w:rsidRPr="00DB5DDD" w:rsidRDefault="00EE106B" w:rsidP="00EE106B">
      <w:pPr>
        <w:rPr>
          <w:b/>
        </w:rPr>
      </w:pPr>
      <w:r w:rsidRPr="00DB5DDD">
        <w:rPr>
          <w:b/>
        </w:rPr>
        <w:t>Comment from a respondent:</w:t>
      </w:r>
    </w:p>
    <w:p w:rsidR="00EE106B" w:rsidRPr="00EE106B" w:rsidRDefault="00EE106B" w:rsidP="00EE106B">
      <w:r w:rsidRPr="00EE106B">
        <w:t>There is not sufficient recognition within the aged care system for specialist blindness services. The Productivity Commission report (Nov 2013, entitled, “An Ageing Austra</w:t>
      </w:r>
      <w:r w:rsidR="00DB5DDD">
        <w:t xml:space="preserve">lia: Preparing for the future”) </w:t>
      </w:r>
      <w:r w:rsidRPr="00EE106B">
        <w:t>found that:</w:t>
      </w:r>
    </w:p>
    <w:p w:rsidR="00EE106B" w:rsidRPr="00EE106B" w:rsidRDefault="00EE106B" w:rsidP="00EE106B">
      <w:r w:rsidRPr="00EE106B">
        <w:t xml:space="preserve">“The population aged 75 or more years is expected to rise by four million from 2012 to 2060, increasing from about 6.4 to 14.4 per cent of the population. In 2012, there was roughly one person aged 100 years old or more to every 100 babies. By 2060, it is projected there will be around 25 people aged 100 or more to every 100 babies.”  </w:t>
      </w:r>
    </w:p>
    <w:p w:rsidR="00EE106B" w:rsidRPr="00EE106B" w:rsidRDefault="00EE106B" w:rsidP="00EE106B">
      <w:r w:rsidRPr="00EE106B">
        <w:t xml:space="preserve">The older you are, the more likely you are to be affected by blindness as follows: </w:t>
      </w:r>
    </w:p>
    <w:p w:rsidR="00EE106B" w:rsidRPr="00EE106B" w:rsidRDefault="00EE106B" w:rsidP="00DB5DDD">
      <w:pPr>
        <w:pStyle w:val="ListParagraph"/>
        <w:numPr>
          <w:ilvl w:val="0"/>
          <w:numId w:val="32"/>
        </w:numPr>
      </w:pPr>
      <w:r w:rsidRPr="00EE106B">
        <w:t>0-9yo (0.25 per cent) – one in 400 Australians</w:t>
      </w:r>
    </w:p>
    <w:p w:rsidR="00EE106B" w:rsidRPr="00EE106B" w:rsidRDefault="00EE106B" w:rsidP="00DB5DDD">
      <w:pPr>
        <w:pStyle w:val="ListParagraph"/>
        <w:numPr>
          <w:ilvl w:val="0"/>
          <w:numId w:val="32"/>
        </w:numPr>
      </w:pPr>
      <w:r w:rsidRPr="00EE106B">
        <w:t>10-29yo (0.4 per cent) – one in 250 Australians</w:t>
      </w:r>
    </w:p>
    <w:p w:rsidR="00EE106B" w:rsidRPr="00EE106B" w:rsidRDefault="00EE106B" w:rsidP="00DB5DDD">
      <w:pPr>
        <w:pStyle w:val="ListParagraph"/>
        <w:numPr>
          <w:ilvl w:val="0"/>
          <w:numId w:val="32"/>
        </w:numPr>
      </w:pPr>
      <w:r w:rsidRPr="00EE106B">
        <w:t>30-39yo (0.48 per cent) – one in 200 Australians</w:t>
      </w:r>
    </w:p>
    <w:p w:rsidR="00EE106B" w:rsidRPr="00EE106B" w:rsidRDefault="00EE106B" w:rsidP="00DB5DDD">
      <w:pPr>
        <w:pStyle w:val="ListParagraph"/>
        <w:numPr>
          <w:ilvl w:val="0"/>
          <w:numId w:val="32"/>
        </w:numPr>
      </w:pPr>
      <w:r w:rsidRPr="00EE106B">
        <w:t>40-49yo (0.6 per cent) – one in 160 Australians</w:t>
      </w:r>
    </w:p>
    <w:p w:rsidR="00EE106B" w:rsidRPr="00EE106B" w:rsidRDefault="00EE106B" w:rsidP="00DB5DDD">
      <w:pPr>
        <w:pStyle w:val="ListParagraph"/>
        <w:numPr>
          <w:ilvl w:val="0"/>
          <w:numId w:val="32"/>
        </w:numPr>
      </w:pPr>
      <w:r w:rsidRPr="00EE106B">
        <w:t>50-59yo (1.13 per cent) – one in 90 Australians</w:t>
      </w:r>
    </w:p>
    <w:p w:rsidR="00EE106B" w:rsidRPr="00EE106B" w:rsidRDefault="00EE106B" w:rsidP="00DB5DDD">
      <w:pPr>
        <w:pStyle w:val="ListParagraph"/>
        <w:numPr>
          <w:ilvl w:val="0"/>
          <w:numId w:val="32"/>
        </w:numPr>
      </w:pPr>
      <w:r w:rsidRPr="00EE106B">
        <w:t>60-69yo (3.39 per cent) – one in 30 Australians</w:t>
      </w:r>
    </w:p>
    <w:p w:rsidR="00EE106B" w:rsidRPr="00EE106B" w:rsidRDefault="00EE106B" w:rsidP="00DB5DDD">
      <w:pPr>
        <w:pStyle w:val="ListParagraph"/>
        <w:numPr>
          <w:ilvl w:val="0"/>
          <w:numId w:val="32"/>
        </w:numPr>
      </w:pPr>
      <w:r w:rsidRPr="00EE106B">
        <w:t>70-79yo (5.67 per cent) – one in 16 Australians</w:t>
      </w:r>
    </w:p>
    <w:p w:rsidR="00EE106B" w:rsidRPr="00EE106B" w:rsidRDefault="00EE106B" w:rsidP="00DB5DDD">
      <w:pPr>
        <w:pStyle w:val="ListParagraph"/>
        <w:numPr>
          <w:ilvl w:val="0"/>
          <w:numId w:val="32"/>
        </w:numPr>
      </w:pPr>
      <w:r w:rsidRPr="00EE106B">
        <w:lastRenderedPageBreak/>
        <w:t>80-89yo (9.59 per cent) – one in 10 Australians</w:t>
      </w:r>
    </w:p>
    <w:p w:rsidR="00EE106B" w:rsidRPr="00EE106B" w:rsidRDefault="00EE106B" w:rsidP="00DB5DDD">
      <w:pPr>
        <w:pStyle w:val="ListParagraph"/>
        <w:numPr>
          <w:ilvl w:val="0"/>
          <w:numId w:val="32"/>
        </w:numPr>
      </w:pPr>
      <w:r w:rsidRPr="00EE106B">
        <w:t xml:space="preserve">90+yo (14.82 per cent) – one in 7 Australians. </w:t>
      </w:r>
    </w:p>
    <w:p w:rsidR="00F00786" w:rsidRPr="00EE106B" w:rsidRDefault="00EE106B" w:rsidP="00EE106B">
      <w:r w:rsidRPr="00EE106B">
        <w:t xml:space="preserve">There is no national program in place that adequately considers blindness among people </w:t>
      </w:r>
      <w:r w:rsidRPr="00EE106B">
        <w:br/>
        <w:t>aged over 65 years old.</w:t>
      </w:r>
    </w:p>
    <w:p w:rsidR="0072099E" w:rsidRPr="00EE106B" w:rsidRDefault="00EE106B" w:rsidP="00DB5DDD">
      <w:pPr>
        <w:pStyle w:val="Heading2"/>
      </w:pPr>
      <w:bookmarkStart w:id="77" w:name="_Toc428361028"/>
      <w:bookmarkStart w:id="78" w:name="_Toc428362772"/>
      <w:r w:rsidRPr="00EE106B">
        <w:t>Conclusion</w:t>
      </w:r>
      <w:bookmarkEnd w:id="77"/>
      <w:bookmarkEnd w:id="78"/>
    </w:p>
    <w:p w:rsidR="00EE106B" w:rsidRPr="00EE106B" w:rsidRDefault="00EE106B" w:rsidP="00EE106B">
      <w:r w:rsidRPr="00EE106B">
        <w:t xml:space="preserve">This report presents a picture of a sector strong in its focus on the needs of people who are blind or vision impaired; with strong demand that’s expected to grow. However, the sector is feeling financial and workforce pressures as it adapts to a changing environment affected by disability and aged care reforms. </w:t>
      </w:r>
    </w:p>
    <w:p w:rsidR="00DB5DDD" w:rsidRDefault="00EE106B" w:rsidP="00EE106B">
      <w:r w:rsidRPr="00EE106B">
        <w:t>Increasing market demand coupled with a sector largely constituted by specialist personnel, will require a macro leve</w:t>
      </w:r>
      <w:r w:rsidR="00DB5DDD">
        <w:t xml:space="preserve">l industry development strategy </w:t>
      </w:r>
      <w:r w:rsidRPr="00EE106B">
        <w:t>to ensure workforce, fina</w:t>
      </w:r>
      <w:r w:rsidR="00DB5DDD">
        <w:t xml:space="preserve">ncial and policy harmonisation. </w:t>
      </w:r>
      <w:r w:rsidRPr="00EE106B">
        <w:t>Given the financial viability of the sector is significantly comprised of community funding through fundraising and philanthropy, the sector must be closely monitored against the adequacy of government reform for long term sustainability.</w:t>
      </w:r>
    </w:p>
    <w:p w:rsidR="004B21D9" w:rsidRDefault="004B21D9" w:rsidP="004B21D9">
      <w:pPr>
        <w:pStyle w:val="Heading2"/>
      </w:pPr>
      <w:bookmarkStart w:id="79" w:name="_Toc428361029"/>
      <w:bookmarkStart w:id="80" w:name="_Toc428362773"/>
      <w:r>
        <w:t>Appendix A</w:t>
      </w:r>
      <w:bookmarkEnd w:id="79"/>
      <w:bookmarkEnd w:id="80"/>
    </w:p>
    <w:p w:rsidR="004B21D9" w:rsidRPr="00D520F1" w:rsidRDefault="004B21D9" w:rsidP="00D520F1">
      <w:r w:rsidRPr="00D520F1">
        <w:t>The bar chart at Table 3: ‘How demand has changed over the past year’ depicts the data received in the</w:t>
      </w:r>
      <w:r w:rsidR="00D520F1">
        <w:t xml:space="preserve"> </w:t>
      </w:r>
      <w:r w:rsidRPr="00D520F1">
        <w:t>survey of participating organisations from the blindness and low vision sector. It shows the following information</w:t>
      </w:r>
      <w:r w:rsidR="00D520F1">
        <w:t>.</w:t>
      </w:r>
    </w:p>
    <w:tbl>
      <w:tblPr>
        <w:tblW w:w="965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51"/>
        <w:gridCol w:w="1701"/>
        <w:gridCol w:w="1713"/>
        <w:gridCol w:w="1689"/>
      </w:tblGrid>
      <w:tr w:rsidR="004B21D9" w:rsidRPr="00935204" w:rsidTr="00D520F1">
        <w:trPr>
          <w:trHeight w:val="915"/>
          <w:tblHeader/>
        </w:trPr>
        <w:tc>
          <w:tcPr>
            <w:tcW w:w="4551" w:type="dxa"/>
            <w:shd w:val="clear" w:color="auto" w:fill="auto"/>
            <w:vAlign w:val="center"/>
            <w:hideMark/>
          </w:tcPr>
          <w:p w:rsidR="004B21D9" w:rsidRPr="00D520F1" w:rsidRDefault="004B21D9" w:rsidP="004B21D9">
            <w:pPr>
              <w:jc w:val="center"/>
              <w:rPr>
                <w:rFonts w:cs="Arial"/>
                <w:b/>
                <w:bCs/>
                <w:color w:val="000000"/>
                <w:szCs w:val="24"/>
              </w:rPr>
            </w:pPr>
            <w:bookmarkStart w:id="81" w:name="Title"/>
            <w:r w:rsidRPr="00D520F1">
              <w:rPr>
                <w:rFonts w:cs="Arial"/>
                <w:b/>
                <w:bCs/>
                <w:color w:val="000000"/>
                <w:szCs w:val="24"/>
              </w:rPr>
              <w:t>Demand change over the past year</w:t>
            </w:r>
            <w:bookmarkEnd w:id="81"/>
          </w:p>
        </w:tc>
        <w:tc>
          <w:tcPr>
            <w:tcW w:w="1701" w:type="dxa"/>
            <w:shd w:val="clear" w:color="auto" w:fill="auto"/>
            <w:vAlign w:val="center"/>
            <w:hideMark/>
          </w:tcPr>
          <w:p w:rsidR="004B21D9" w:rsidRPr="00D520F1" w:rsidRDefault="004B21D9" w:rsidP="004B21D9">
            <w:pPr>
              <w:jc w:val="center"/>
              <w:rPr>
                <w:rFonts w:cs="Arial"/>
                <w:b/>
                <w:bCs/>
                <w:color w:val="000000"/>
                <w:szCs w:val="24"/>
              </w:rPr>
            </w:pPr>
            <w:r w:rsidRPr="00D520F1">
              <w:rPr>
                <w:rFonts w:cs="Arial"/>
                <w:b/>
                <w:bCs/>
                <w:color w:val="000000"/>
                <w:szCs w:val="24"/>
              </w:rPr>
              <w:t>Demand increased %</w:t>
            </w:r>
          </w:p>
        </w:tc>
        <w:tc>
          <w:tcPr>
            <w:tcW w:w="1713" w:type="dxa"/>
            <w:shd w:val="clear" w:color="auto" w:fill="auto"/>
            <w:vAlign w:val="center"/>
            <w:hideMark/>
          </w:tcPr>
          <w:p w:rsidR="004B21D9" w:rsidRPr="00D520F1" w:rsidRDefault="004B21D9" w:rsidP="004B21D9">
            <w:pPr>
              <w:jc w:val="center"/>
              <w:rPr>
                <w:rFonts w:cs="Arial"/>
                <w:b/>
                <w:bCs/>
                <w:color w:val="000000"/>
                <w:szCs w:val="24"/>
              </w:rPr>
            </w:pPr>
            <w:r w:rsidRPr="00D520F1">
              <w:rPr>
                <w:rFonts w:cs="Arial"/>
                <w:b/>
                <w:bCs/>
                <w:color w:val="000000"/>
                <w:szCs w:val="24"/>
              </w:rPr>
              <w:t>Demand remained the same %</w:t>
            </w:r>
          </w:p>
        </w:tc>
        <w:tc>
          <w:tcPr>
            <w:tcW w:w="1689" w:type="dxa"/>
            <w:shd w:val="clear" w:color="auto" w:fill="auto"/>
            <w:vAlign w:val="center"/>
            <w:hideMark/>
          </w:tcPr>
          <w:p w:rsidR="004B21D9" w:rsidRPr="00D520F1" w:rsidRDefault="004B21D9" w:rsidP="004B21D9">
            <w:pPr>
              <w:jc w:val="center"/>
              <w:rPr>
                <w:rFonts w:cs="Arial"/>
                <w:b/>
                <w:bCs/>
                <w:color w:val="000000"/>
                <w:szCs w:val="24"/>
              </w:rPr>
            </w:pPr>
            <w:r w:rsidRPr="00D520F1">
              <w:rPr>
                <w:rFonts w:cs="Arial"/>
                <w:b/>
                <w:bCs/>
                <w:color w:val="000000"/>
                <w:szCs w:val="24"/>
              </w:rPr>
              <w:t xml:space="preserve">Demand decreased % </w:t>
            </w:r>
          </w:p>
        </w:tc>
      </w:tr>
      <w:tr w:rsidR="004B21D9" w:rsidRPr="00935204" w:rsidTr="004B21D9">
        <w:trPr>
          <w:trHeight w:val="315"/>
        </w:trPr>
        <w:tc>
          <w:tcPr>
            <w:tcW w:w="4551" w:type="dxa"/>
            <w:shd w:val="clear" w:color="auto" w:fill="auto"/>
            <w:noWrap/>
            <w:vAlign w:val="center"/>
            <w:hideMark/>
          </w:tcPr>
          <w:p w:rsidR="004B21D9" w:rsidRPr="00D520F1" w:rsidRDefault="004B21D9" w:rsidP="004B21D9">
            <w:pPr>
              <w:rPr>
                <w:rFonts w:cs="Arial"/>
                <w:color w:val="000000"/>
                <w:szCs w:val="24"/>
              </w:rPr>
            </w:pPr>
            <w:r w:rsidRPr="00D520F1">
              <w:rPr>
                <w:rFonts w:cs="Arial"/>
                <w:color w:val="000000"/>
                <w:szCs w:val="24"/>
              </w:rPr>
              <w:t>Activities of daily living</w:t>
            </w:r>
          </w:p>
        </w:tc>
        <w:tc>
          <w:tcPr>
            <w:tcW w:w="1701" w:type="dxa"/>
            <w:shd w:val="clear" w:color="auto" w:fill="auto"/>
            <w:noWrap/>
            <w:vAlign w:val="center"/>
            <w:hideMark/>
          </w:tcPr>
          <w:p w:rsidR="004B21D9" w:rsidRPr="00D520F1" w:rsidRDefault="004B21D9" w:rsidP="004B21D9">
            <w:pPr>
              <w:jc w:val="center"/>
              <w:rPr>
                <w:rFonts w:cs="Arial"/>
                <w:color w:val="000000"/>
                <w:szCs w:val="24"/>
              </w:rPr>
            </w:pPr>
            <w:r w:rsidRPr="00D520F1">
              <w:rPr>
                <w:rFonts w:cs="Arial"/>
                <w:color w:val="000000"/>
                <w:szCs w:val="24"/>
              </w:rPr>
              <w:t>100</w:t>
            </w:r>
          </w:p>
        </w:tc>
        <w:tc>
          <w:tcPr>
            <w:tcW w:w="1713" w:type="dxa"/>
            <w:shd w:val="clear" w:color="auto" w:fill="auto"/>
            <w:noWrap/>
            <w:vAlign w:val="center"/>
            <w:hideMark/>
          </w:tcPr>
          <w:p w:rsidR="004B21D9" w:rsidRPr="00D520F1" w:rsidRDefault="004B21D9" w:rsidP="004B21D9">
            <w:pPr>
              <w:jc w:val="center"/>
              <w:rPr>
                <w:rFonts w:cs="Arial"/>
                <w:color w:val="000000"/>
                <w:szCs w:val="24"/>
              </w:rPr>
            </w:pPr>
            <w:r w:rsidRPr="00D520F1">
              <w:rPr>
                <w:rFonts w:cs="Arial"/>
                <w:color w:val="000000"/>
                <w:szCs w:val="24"/>
              </w:rPr>
              <w:t>0</w:t>
            </w:r>
          </w:p>
        </w:tc>
        <w:tc>
          <w:tcPr>
            <w:tcW w:w="1689" w:type="dxa"/>
            <w:shd w:val="clear" w:color="auto" w:fill="auto"/>
            <w:noWrap/>
            <w:vAlign w:val="center"/>
            <w:hideMark/>
          </w:tcPr>
          <w:p w:rsidR="004B21D9" w:rsidRPr="00D520F1" w:rsidRDefault="004B21D9" w:rsidP="004B21D9">
            <w:pPr>
              <w:jc w:val="center"/>
              <w:rPr>
                <w:rFonts w:cs="Arial"/>
                <w:color w:val="000000"/>
                <w:szCs w:val="24"/>
              </w:rPr>
            </w:pPr>
            <w:r w:rsidRPr="00D520F1">
              <w:rPr>
                <w:rFonts w:cs="Arial"/>
                <w:color w:val="000000"/>
                <w:szCs w:val="24"/>
              </w:rPr>
              <w:t>0</w:t>
            </w:r>
          </w:p>
        </w:tc>
      </w:tr>
      <w:tr w:rsidR="004B21D9" w:rsidRPr="00935204" w:rsidTr="004B21D9">
        <w:trPr>
          <w:trHeight w:val="315"/>
        </w:trPr>
        <w:tc>
          <w:tcPr>
            <w:tcW w:w="4551" w:type="dxa"/>
            <w:shd w:val="clear" w:color="auto" w:fill="auto"/>
            <w:noWrap/>
            <w:vAlign w:val="center"/>
            <w:hideMark/>
          </w:tcPr>
          <w:p w:rsidR="004B21D9" w:rsidRPr="00D520F1" w:rsidRDefault="004B21D9" w:rsidP="004B21D9">
            <w:pPr>
              <w:rPr>
                <w:rFonts w:cs="Arial"/>
                <w:color w:val="000000"/>
                <w:szCs w:val="24"/>
              </w:rPr>
            </w:pPr>
            <w:r w:rsidRPr="00D520F1">
              <w:rPr>
                <w:rFonts w:cs="Arial"/>
                <w:color w:val="000000"/>
                <w:szCs w:val="24"/>
              </w:rPr>
              <w:t>Advocacy or advisory</w:t>
            </w:r>
          </w:p>
        </w:tc>
        <w:tc>
          <w:tcPr>
            <w:tcW w:w="1701" w:type="dxa"/>
            <w:shd w:val="clear" w:color="auto" w:fill="auto"/>
            <w:noWrap/>
            <w:vAlign w:val="center"/>
            <w:hideMark/>
          </w:tcPr>
          <w:p w:rsidR="004B21D9" w:rsidRPr="00D520F1" w:rsidRDefault="004B21D9" w:rsidP="004B21D9">
            <w:pPr>
              <w:jc w:val="center"/>
              <w:rPr>
                <w:rFonts w:cs="Arial"/>
                <w:color w:val="000000"/>
                <w:szCs w:val="24"/>
              </w:rPr>
            </w:pPr>
            <w:r w:rsidRPr="00D520F1">
              <w:rPr>
                <w:rFonts w:cs="Arial"/>
                <w:color w:val="000000"/>
                <w:szCs w:val="24"/>
              </w:rPr>
              <w:t>64</w:t>
            </w:r>
          </w:p>
        </w:tc>
        <w:tc>
          <w:tcPr>
            <w:tcW w:w="1713" w:type="dxa"/>
            <w:shd w:val="clear" w:color="auto" w:fill="auto"/>
            <w:noWrap/>
            <w:vAlign w:val="center"/>
            <w:hideMark/>
          </w:tcPr>
          <w:p w:rsidR="004B21D9" w:rsidRPr="00D520F1" w:rsidRDefault="004B21D9" w:rsidP="004B21D9">
            <w:pPr>
              <w:jc w:val="center"/>
              <w:rPr>
                <w:rFonts w:cs="Arial"/>
                <w:color w:val="000000"/>
                <w:szCs w:val="24"/>
              </w:rPr>
            </w:pPr>
            <w:r w:rsidRPr="00D520F1">
              <w:rPr>
                <w:rFonts w:cs="Arial"/>
                <w:color w:val="000000"/>
                <w:szCs w:val="24"/>
              </w:rPr>
              <w:t>36</w:t>
            </w:r>
          </w:p>
        </w:tc>
        <w:tc>
          <w:tcPr>
            <w:tcW w:w="1689" w:type="dxa"/>
            <w:shd w:val="clear" w:color="auto" w:fill="auto"/>
            <w:noWrap/>
            <w:vAlign w:val="center"/>
            <w:hideMark/>
          </w:tcPr>
          <w:p w:rsidR="004B21D9" w:rsidRPr="00D520F1" w:rsidRDefault="004B21D9" w:rsidP="004B21D9">
            <w:pPr>
              <w:jc w:val="center"/>
              <w:rPr>
                <w:rFonts w:cs="Arial"/>
                <w:color w:val="000000"/>
                <w:szCs w:val="24"/>
              </w:rPr>
            </w:pPr>
            <w:r w:rsidRPr="00D520F1">
              <w:rPr>
                <w:rFonts w:cs="Arial"/>
                <w:color w:val="000000"/>
                <w:szCs w:val="24"/>
              </w:rPr>
              <w:t>0</w:t>
            </w:r>
          </w:p>
        </w:tc>
      </w:tr>
      <w:tr w:rsidR="004B21D9" w:rsidRPr="00935204" w:rsidTr="004B21D9">
        <w:trPr>
          <w:trHeight w:val="315"/>
        </w:trPr>
        <w:tc>
          <w:tcPr>
            <w:tcW w:w="4551" w:type="dxa"/>
            <w:shd w:val="clear" w:color="auto" w:fill="auto"/>
            <w:noWrap/>
            <w:vAlign w:val="center"/>
            <w:hideMark/>
          </w:tcPr>
          <w:p w:rsidR="004B21D9" w:rsidRPr="00D520F1" w:rsidRDefault="004B21D9" w:rsidP="004B21D9">
            <w:pPr>
              <w:rPr>
                <w:rFonts w:cs="Arial"/>
                <w:color w:val="000000"/>
                <w:szCs w:val="24"/>
              </w:rPr>
            </w:pPr>
            <w:r w:rsidRPr="00D520F1">
              <w:rPr>
                <w:rFonts w:cs="Arial"/>
                <w:color w:val="000000"/>
                <w:szCs w:val="24"/>
              </w:rPr>
              <w:t>Aids, equipment &amp; assistive technology</w:t>
            </w:r>
          </w:p>
        </w:tc>
        <w:tc>
          <w:tcPr>
            <w:tcW w:w="1701" w:type="dxa"/>
            <w:shd w:val="clear" w:color="auto" w:fill="auto"/>
            <w:noWrap/>
            <w:vAlign w:val="center"/>
            <w:hideMark/>
          </w:tcPr>
          <w:p w:rsidR="004B21D9" w:rsidRPr="00D520F1" w:rsidRDefault="004B21D9" w:rsidP="004B21D9">
            <w:pPr>
              <w:jc w:val="center"/>
              <w:rPr>
                <w:rFonts w:cs="Arial"/>
                <w:color w:val="000000"/>
                <w:szCs w:val="24"/>
              </w:rPr>
            </w:pPr>
            <w:r w:rsidRPr="00D520F1">
              <w:rPr>
                <w:rFonts w:cs="Arial"/>
                <w:color w:val="000000"/>
                <w:szCs w:val="24"/>
              </w:rPr>
              <w:t>93</w:t>
            </w:r>
          </w:p>
        </w:tc>
        <w:tc>
          <w:tcPr>
            <w:tcW w:w="1713" w:type="dxa"/>
            <w:shd w:val="clear" w:color="auto" w:fill="auto"/>
            <w:noWrap/>
            <w:vAlign w:val="center"/>
            <w:hideMark/>
          </w:tcPr>
          <w:p w:rsidR="004B21D9" w:rsidRPr="00D520F1" w:rsidRDefault="004B21D9" w:rsidP="004B21D9">
            <w:pPr>
              <w:jc w:val="center"/>
              <w:rPr>
                <w:rFonts w:cs="Arial"/>
                <w:color w:val="000000"/>
                <w:szCs w:val="24"/>
              </w:rPr>
            </w:pPr>
            <w:r w:rsidRPr="00D520F1">
              <w:rPr>
                <w:rFonts w:cs="Arial"/>
                <w:color w:val="000000"/>
                <w:szCs w:val="24"/>
              </w:rPr>
              <w:t>7</w:t>
            </w:r>
          </w:p>
        </w:tc>
        <w:tc>
          <w:tcPr>
            <w:tcW w:w="1689" w:type="dxa"/>
            <w:shd w:val="clear" w:color="auto" w:fill="auto"/>
            <w:noWrap/>
            <w:vAlign w:val="center"/>
            <w:hideMark/>
          </w:tcPr>
          <w:p w:rsidR="004B21D9" w:rsidRPr="00D520F1" w:rsidRDefault="004B21D9" w:rsidP="004B21D9">
            <w:pPr>
              <w:jc w:val="center"/>
              <w:rPr>
                <w:rFonts w:cs="Arial"/>
                <w:color w:val="000000"/>
                <w:szCs w:val="24"/>
              </w:rPr>
            </w:pPr>
            <w:r w:rsidRPr="00D520F1">
              <w:rPr>
                <w:rFonts w:cs="Arial"/>
                <w:color w:val="000000"/>
                <w:szCs w:val="24"/>
              </w:rPr>
              <w:t>0</w:t>
            </w:r>
          </w:p>
        </w:tc>
      </w:tr>
      <w:tr w:rsidR="004B21D9" w:rsidRPr="00935204" w:rsidTr="004B21D9">
        <w:trPr>
          <w:trHeight w:val="315"/>
        </w:trPr>
        <w:tc>
          <w:tcPr>
            <w:tcW w:w="4551" w:type="dxa"/>
            <w:shd w:val="clear" w:color="auto" w:fill="auto"/>
            <w:noWrap/>
            <w:vAlign w:val="center"/>
            <w:hideMark/>
          </w:tcPr>
          <w:p w:rsidR="004B21D9" w:rsidRPr="00D520F1" w:rsidRDefault="004B21D9" w:rsidP="004B21D9">
            <w:pPr>
              <w:rPr>
                <w:rFonts w:cs="Arial"/>
                <w:color w:val="000000"/>
                <w:szCs w:val="24"/>
              </w:rPr>
            </w:pPr>
            <w:r w:rsidRPr="00D520F1">
              <w:rPr>
                <w:rFonts w:cs="Arial"/>
                <w:color w:val="000000"/>
                <w:szCs w:val="24"/>
              </w:rPr>
              <w:t>Community awareness/community education</w:t>
            </w:r>
          </w:p>
        </w:tc>
        <w:tc>
          <w:tcPr>
            <w:tcW w:w="1701" w:type="dxa"/>
            <w:shd w:val="clear" w:color="auto" w:fill="auto"/>
            <w:noWrap/>
            <w:vAlign w:val="center"/>
            <w:hideMark/>
          </w:tcPr>
          <w:p w:rsidR="004B21D9" w:rsidRPr="00D520F1" w:rsidRDefault="004B21D9" w:rsidP="004B21D9">
            <w:pPr>
              <w:jc w:val="center"/>
              <w:rPr>
                <w:rFonts w:cs="Arial"/>
                <w:color w:val="000000"/>
                <w:szCs w:val="24"/>
              </w:rPr>
            </w:pPr>
            <w:r w:rsidRPr="00D520F1">
              <w:rPr>
                <w:rFonts w:cs="Arial"/>
                <w:color w:val="000000"/>
                <w:szCs w:val="24"/>
              </w:rPr>
              <w:t>88</w:t>
            </w:r>
          </w:p>
        </w:tc>
        <w:tc>
          <w:tcPr>
            <w:tcW w:w="1713" w:type="dxa"/>
            <w:shd w:val="clear" w:color="auto" w:fill="auto"/>
            <w:noWrap/>
            <w:vAlign w:val="center"/>
            <w:hideMark/>
          </w:tcPr>
          <w:p w:rsidR="004B21D9" w:rsidRPr="00D520F1" w:rsidRDefault="004B21D9" w:rsidP="004B21D9">
            <w:pPr>
              <w:jc w:val="center"/>
              <w:rPr>
                <w:rFonts w:cs="Arial"/>
                <w:color w:val="000000"/>
                <w:szCs w:val="24"/>
              </w:rPr>
            </w:pPr>
            <w:r w:rsidRPr="00D520F1">
              <w:rPr>
                <w:rFonts w:cs="Arial"/>
                <w:color w:val="000000"/>
                <w:szCs w:val="24"/>
              </w:rPr>
              <w:t>12</w:t>
            </w:r>
          </w:p>
        </w:tc>
        <w:tc>
          <w:tcPr>
            <w:tcW w:w="1689" w:type="dxa"/>
            <w:shd w:val="clear" w:color="auto" w:fill="auto"/>
            <w:noWrap/>
            <w:vAlign w:val="center"/>
            <w:hideMark/>
          </w:tcPr>
          <w:p w:rsidR="004B21D9" w:rsidRPr="00D520F1" w:rsidRDefault="004B21D9" w:rsidP="004B21D9">
            <w:pPr>
              <w:jc w:val="center"/>
              <w:rPr>
                <w:rFonts w:cs="Arial"/>
                <w:color w:val="000000"/>
                <w:szCs w:val="24"/>
              </w:rPr>
            </w:pPr>
            <w:r w:rsidRPr="00D520F1">
              <w:rPr>
                <w:rFonts w:cs="Arial"/>
                <w:color w:val="000000"/>
                <w:szCs w:val="24"/>
              </w:rPr>
              <w:t>0</w:t>
            </w:r>
          </w:p>
        </w:tc>
      </w:tr>
      <w:tr w:rsidR="004B21D9" w:rsidRPr="00935204" w:rsidTr="004B21D9">
        <w:trPr>
          <w:trHeight w:val="315"/>
        </w:trPr>
        <w:tc>
          <w:tcPr>
            <w:tcW w:w="4551" w:type="dxa"/>
            <w:shd w:val="clear" w:color="auto" w:fill="auto"/>
            <w:noWrap/>
            <w:vAlign w:val="center"/>
            <w:hideMark/>
          </w:tcPr>
          <w:p w:rsidR="004B21D9" w:rsidRPr="00D520F1" w:rsidRDefault="004B21D9" w:rsidP="004B21D9">
            <w:pPr>
              <w:rPr>
                <w:rFonts w:cs="Arial"/>
                <w:color w:val="000000"/>
                <w:szCs w:val="24"/>
              </w:rPr>
            </w:pPr>
            <w:r w:rsidRPr="00D520F1">
              <w:rPr>
                <w:rFonts w:cs="Arial"/>
                <w:color w:val="000000"/>
                <w:szCs w:val="24"/>
              </w:rPr>
              <w:t>Counselling</w:t>
            </w:r>
          </w:p>
        </w:tc>
        <w:tc>
          <w:tcPr>
            <w:tcW w:w="1701" w:type="dxa"/>
            <w:shd w:val="clear" w:color="auto" w:fill="auto"/>
            <w:noWrap/>
            <w:vAlign w:val="center"/>
            <w:hideMark/>
          </w:tcPr>
          <w:p w:rsidR="004B21D9" w:rsidRPr="00D520F1" w:rsidRDefault="004B21D9" w:rsidP="004B21D9">
            <w:pPr>
              <w:jc w:val="center"/>
              <w:rPr>
                <w:rFonts w:cs="Arial"/>
                <w:color w:val="000000"/>
                <w:szCs w:val="24"/>
              </w:rPr>
            </w:pPr>
            <w:r w:rsidRPr="00D520F1">
              <w:rPr>
                <w:rFonts w:cs="Arial"/>
                <w:color w:val="000000"/>
                <w:szCs w:val="24"/>
              </w:rPr>
              <w:t>100</w:t>
            </w:r>
          </w:p>
        </w:tc>
        <w:tc>
          <w:tcPr>
            <w:tcW w:w="1713" w:type="dxa"/>
            <w:shd w:val="clear" w:color="auto" w:fill="auto"/>
            <w:noWrap/>
            <w:vAlign w:val="center"/>
            <w:hideMark/>
          </w:tcPr>
          <w:p w:rsidR="004B21D9" w:rsidRPr="00D520F1" w:rsidRDefault="004B21D9" w:rsidP="004B21D9">
            <w:pPr>
              <w:jc w:val="center"/>
              <w:rPr>
                <w:rFonts w:cs="Arial"/>
                <w:color w:val="000000"/>
                <w:szCs w:val="24"/>
              </w:rPr>
            </w:pPr>
            <w:r w:rsidRPr="00D520F1">
              <w:rPr>
                <w:rFonts w:cs="Arial"/>
                <w:color w:val="000000"/>
                <w:szCs w:val="24"/>
              </w:rPr>
              <w:t>0</w:t>
            </w:r>
          </w:p>
        </w:tc>
        <w:tc>
          <w:tcPr>
            <w:tcW w:w="1689" w:type="dxa"/>
            <w:shd w:val="clear" w:color="auto" w:fill="auto"/>
            <w:noWrap/>
            <w:vAlign w:val="center"/>
            <w:hideMark/>
          </w:tcPr>
          <w:p w:rsidR="004B21D9" w:rsidRPr="00D520F1" w:rsidRDefault="004B21D9" w:rsidP="004B21D9">
            <w:pPr>
              <w:jc w:val="center"/>
              <w:rPr>
                <w:rFonts w:cs="Arial"/>
                <w:color w:val="000000"/>
                <w:szCs w:val="24"/>
              </w:rPr>
            </w:pPr>
            <w:r w:rsidRPr="00D520F1">
              <w:rPr>
                <w:rFonts w:cs="Arial"/>
                <w:color w:val="000000"/>
                <w:szCs w:val="24"/>
              </w:rPr>
              <w:t>0</w:t>
            </w:r>
          </w:p>
        </w:tc>
      </w:tr>
      <w:tr w:rsidR="004B21D9" w:rsidRPr="00935204" w:rsidTr="004B21D9">
        <w:trPr>
          <w:trHeight w:val="315"/>
        </w:trPr>
        <w:tc>
          <w:tcPr>
            <w:tcW w:w="4551" w:type="dxa"/>
            <w:shd w:val="clear" w:color="auto" w:fill="auto"/>
            <w:noWrap/>
            <w:vAlign w:val="center"/>
          </w:tcPr>
          <w:p w:rsidR="004B21D9" w:rsidRPr="00D520F1" w:rsidRDefault="004B21D9" w:rsidP="004B21D9">
            <w:pPr>
              <w:rPr>
                <w:rFonts w:cs="Arial"/>
                <w:color w:val="000000"/>
                <w:szCs w:val="24"/>
              </w:rPr>
            </w:pPr>
            <w:r w:rsidRPr="00D520F1">
              <w:rPr>
                <w:rFonts w:cs="Arial"/>
                <w:color w:val="000000"/>
                <w:szCs w:val="24"/>
              </w:rPr>
              <w:lastRenderedPageBreak/>
              <w:t>Education support</w:t>
            </w:r>
          </w:p>
        </w:tc>
        <w:tc>
          <w:tcPr>
            <w:tcW w:w="1701" w:type="dxa"/>
            <w:shd w:val="clear" w:color="auto" w:fill="auto"/>
            <w:noWrap/>
            <w:vAlign w:val="center"/>
          </w:tcPr>
          <w:p w:rsidR="004B21D9" w:rsidRPr="00D520F1" w:rsidRDefault="004B21D9" w:rsidP="004B21D9">
            <w:pPr>
              <w:jc w:val="center"/>
              <w:rPr>
                <w:rFonts w:cs="Arial"/>
                <w:color w:val="000000"/>
                <w:szCs w:val="24"/>
              </w:rPr>
            </w:pPr>
            <w:r w:rsidRPr="00D520F1">
              <w:rPr>
                <w:rFonts w:cs="Arial"/>
                <w:color w:val="000000"/>
                <w:szCs w:val="24"/>
              </w:rPr>
              <w:t>86</w:t>
            </w:r>
          </w:p>
        </w:tc>
        <w:tc>
          <w:tcPr>
            <w:tcW w:w="1713" w:type="dxa"/>
            <w:shd w:val="clear" w:color="auto" w:fill="auto"/>
            <w:noWrap/>
            <w:vAlign w:val="center"/>
          </w:tcPr>
          <w:p w:rsidR="004B21D9" w:rsidRPr="00D520F1" w:rsidRDefault="004B21D9" w:rsidP="004B21D9">
            <w:pPr>
              <w:jc w:val="center"/>
              <w:rPr>
                <w:rFonts w:cs="Arial"/>
                <w:color w:val="000000"/>
                <w:szCs w:val="24"/>
              </w:rPr>
            </w:pPr>
            <w:r w:rsidRPr="00D520F1">
              <w:rPr>
                <w:rFonts w:cs="Arial"/>
                <w:color w:val="000000"/>
                <w:szCs w:val="24"/>
              </w:rPr>
              <w:t>14</w:t>
            </w:r>
          </w:p>
        </w:tc>
        <w:tc>
          <w:tcPr>
            <w:tcW w:w="1689" w:type="dxa"/>
            <w:shd w:val="clear" w:color="auto" w:fill="auto"/>
            <w:noWrap/>
            <w:vAlign w:val="center"/>
          </w:tcPr>
          <w:p w:rsidR="004B21D9" w:rsidRPr="00D520F1" w:rsidRDefault="004B21D9" w:rsidP="004B21D9">
            <w:pPr>
              <w:jc w:val="center"/>
              <w:rPr>
                <w:rFonts w:cs="Arial"/>
                <w:color w:val="000000"/>
                <w:szCs w:val="24"/>
              </w:rPr>
            </w:pPr>
            <w:r w:rsidRPr="00D520F1">
              <w:rPr>
                <w:rFonts w:cs="Arial"/>
                <w:color w:val="000000"/>
                <w:szCs w:val="24"/>
              </w:rPr>
              <w:t>0</w:t>
            </w:r>
          </w:p>
        </w:tc>
      </w:tr>
      <w:tr w:rsidR="004B21D9" w:rsidRPr="00935204" w:rsidTr="004B21D9">
        <w:trPr>
          <w:trHeight w:val="315"/>
        </w:trPr>
        <w:tc>
          <w:tcPr>
            <w:tcW w:w="4551" w:type="dxa"/>
            <w:shd w:val="clear" w:color="auto" w:fill="auto"/>
            <w:noWrap/>
            <w:vAlign w:val="center"/>
          </w:tcPr>
          <w:p w:rsidR="004B21D9" w:rsidRPr="00D520F1" w:rsidRDefault="004B21D9" w:rsidP="004B21D9">
            <w:pPr>
              <w:rPr>
                <w:rFonts w:cs="Arial"/>
                <w:color w:val="000000"/>
                <w:szCs w:val="24"/>
              </w:rPr>
            </w:pPr>
            <w:r w:rsidRPr="00D520F1">
              <w:rPr>
                <w:rFonts w:cs="Arial"/>
                <w:color w:val="000000"/>
                <w:szCs w:val="24"/>
              </w:rPr>
              <w:t>Employment services</w:t>
            </w:r>
          </w:p>
        </w:tc>
        <w:tc>
          <w:tcPr>
            <w:tcW w:w="1701" w:type="dxa"/>
            <w:shd w:val="clear" w:color="auto" w:fill="auto"/>
            <w:noWrap/>
            <w:vAlign w:val="center"/>
          </w:tcPr>
          <w:p w:rsidR="004B21D9" w:rsidRPr="00D520F1" w:rsidRDefault="004B21D9" w:rsidP="004B21D9">
            <w:pPr>
              <w:jc w:val="center"/>
              <w:rPr>
                <w:rFonts w:cs="Arial"/>
                <w:color w:val="000000"/>
                <w:szCs w:val="24"/>
              </w:rPr>
            </w:pPr>
            <w:r w:rsidRPr="00D520F1">
              <w:rPr>
                <w:rFonts w:cs="Arial"/>
                <w:color w:val="000000"/>
                <w:szCs w:val="24"/>
              </w:rPr>
              <w:t>67</w:t>
            </w:r>
          </w:p>
        </w:tc>
        <w:tc>
          <w:tcPr>
            <w:tcW w:w="1713" w:type="dxa"/>
            <w:shd w:val="clear" w:color="auto" w:fill="auto"/>
            <w:noWrap/>
            <w:vAlign w:val="center"/>
          </w:tcPr>
          <w:p w:rsidR="004B21D9" w:rsidRPr="00D520F1" w:rsidRDefault="004B21D9" w:rsidP="004B21D9">
            <w:pPr>
              <w:jc w:val="center"/>
              <w:rPr>
                <w:rFonts w:cs="Arial"/>
                <w:color w:val="000000"/>
                <w:szCs w:val="24"/>
              </w:rPr>
            </w:pPr>
            <w:r w:rsidRPr="00D520F1">
              <w:rPr>
                <w:rFonts w:cs="Arial"/>
                <w:color w:val="000000"/>
                <w:szCs w:val="24"/>
              </w:rPr>
              <w:t>0</w:t>
            </w:r>
          </w:p>
        </w:tc>
        <w:tc>
          <w:tcPr>
            <w:tcW w:w="1689" w:type="dxa"/>
            <w:shd w:val="clear" w:color="auto" w:fill="auto"/>
            <w:noWrap/>
            <w:vAlign w:val="center"/>
          </w:tcPr>
          <w:p w:rsidR="004B21D9" w:rsidRPr="00D520F1" w:rsidRDefault="004B21D9" w:rsidP="004B21D9">
            <w:pPr>
              <w:jc w:val="center"/>
              <w:rPr>
                <w:rFonts w:cs="Arial"/>
                <w:color w:val="000000"/>
                <w:szCs w:val="24"/>
              </w:rPr>
            </w:pPr>
            <w:r w:rsidRPr="00D520F1">
              <w:rPr>
                <w:rFonts w:cs="Arial"/>
                <w:color w:val="000000"/>
                <w:szCs w:val="24"/>
              </w:rPr>
              <w:t>33</w:t>
            </w:r>
          </w:p>
        </w:tc>
      </w:tr>
      <w:tr w:rsidR="004B21D9" w:rsidRPr="00935204" w:rsidTr="004B21D9">
        <w:trPr>
          <w:trHeight w:val="315"/>
        </w:trPr>
        <w:tc>
          <w:tcPr>
            <w:tcW w:w="4551" w:type="dxa"/>
            <w:shd w:val="clear" w:color="auto" w:fill="auto"/>
            <w:noWrap/>
            <w:vAlign w:val="center"/>
          </w:tcPr>
          <w:p w:rsidR="004B21D9" w:rsidRPr="00D520F1" w:rsidRDefault="004B21D9" w:rsidP="004B21D9">
            <w:pPr>
              <w:rPr>
                <w:rFonts w:cs="Arial"/>
                <w:color w:val="000000"/>
                <w:szCs w:val="24"/>
              </w:rPr>
            </w:pPr>
            <w:r w:rsidRPr="00D520F1">
              <w:rPr>
                <w:rFonts w:cs="Arial"/>
                <w:color w:val="000000"/>
                <w:szCs w:val="24"/>
              </w:rPr>
              <w:t>Fundraising</w:t>
            </w:r>
          </w:p>
        </w:tc>
        <w:tc>
          <w:tcPr>
            <w:tcW w:w="1701" w:type="dxa"/>
            <w:shd w:val="clear" w:color="auto" w:fill="auto"/>
            <w:noWrap/>
            <w:vAlign w:val="center"/>
          </w:tcPr>
          <w:p w:rsidR="004B21D9" w:rsidRPr="00D520F1" w:rsidRDefault="004B21D9" w:rsidP="004B21D9">
            <w:pPr>
              <w:jc w:val="center"/>
              <w:rPr>
                <w:rFonts w:cs="Arial"/>
                <w:color w:val="000000"/>
                <w:szCs w:val="24"/>
              </w:rPr>
            </w:pPr>
            <w:r w:rsidRPr="00D520F1">
              <w:rPr>
                <w:rFonts w:cs="Arial"/>
                <w:color w:val="000000"/>
                <w:szCs w:val="24"/>
              </w:rPr>
              <w:t>70</w:t>
            </w:r>
          </w:p>
        </w:tc>
        <w:tc>
          <w:tcPr>
            <w:tcW w:w="1713" w:type="dxa"/>
            <w:shd w:val="clear" w:color="auto" w:fill="auto"/>
            <w:noWrap/>
            <w:vAlign w:val="center"/>
          </w:tcPr>
          <w:p w:rsidR="004B21D9" w:rsidRPr="00D520F1" w:rsidRDefault="004B21D9" w:rsidP="004B21D9">
            <w:pPr>
              <w:jc w:val="center"/>
              <w:rPr>
                <w:rFonts w:cs="Arial"/>
                <w:color w:val="000000"/>
                <w:szCs w:val="24"/>
              </w:rPr>
            </w:pPr>
            <w:r w:rsidRPr="00D520F1">
              <w:rPr>
                <w:rFonts w:cs="Arial"/>
                <w:color w:val="000000"/>
                <w:szCs w:val="24"/>
              </w:rPr>
              <w:t>30</w:t>
            </w:r>
          </w:p>
        </w:tc>
        <w:tc>
          <w:tcPr>
            <w:tcW w:w="1689" w:type="dxa"/>
            <w:shd w:val="clear" w:color="auto" w:fill="auto"/>
            <w:noWrap/>
            <w:vAlign w:val="center"/>
          </w:tcPr>
          <w:p w:rsidR="004B21D9" w:rsidRPr="00D520F1" w:rsidRDefault="004B21D9" w:rsidP="004B21D9">
            <w:pPr>
              <w:jc w:val="center"/>
              <w:rPr>
                <w:rFonts w:cs="Arial"/>
                <w:color w:val="000000"/>
                <w:szCs w:val="24"/>
              </w:rPr>
            </w:pPr>
            <w:r w:rsidRPr="00D520F1">
              <w:rPr>
                <w:rFonts w:cs="Arial"/>
                <w:color w:val="000000"/>
                <w:szCs w:val="24"/>
              </w:rPr>
              <w:t>0</w:t>
            </w:r>
          </w:p>
        </w:tc>
      </w:tr>
      <w:tr w:rsidR="004B21D9" w:rsidRPr="00935204" w:rsidTr="004B21D9">
        <w:trPr>
          <w:trHeight w:val="315"/>
        </w:trPr>
        <w:tc>
          <w:tcPr>
            <w:tcW w:w="4551" w:type="dxa"/>
            <w:shd w:val="clear" w:color="auto" w:fill="auto"/>
            <w:noWrap/>
            <w:vAlign w:val="center"/>
          </w:tcPr>
          <w:p w:rsidR="004B21D9" w:rsidRPr="00D520F1" w:rsidRDefault="004B21D9" w:rsidP="004B21D9">
            <w:pPr>
              <w:rPr>
                <w:rFonts w:cs="Arial"/>
                <w:color w:val="000000"/>
                <w:szCs w:val="24"/>
              </w:rPr>
            </w:pPr>
            <w:r w:rsidRPr="00D520F1">
              <w:rPr>
                <w:rFonts w:cs="Arial"/>
                <w:color w:val="000000"/>
                <w:szCs w:val="24"/>
              </w:rPr>
              <w:t>Guide dogs</w:t>
            </w:r>
          </w:p>
        </w:tc>
        <w:tc>
          <w:tcPr>
            <w:tcW w:w="1701" w:type="dxa"/>
            <w:shd w:val="clear" w:color="auto" w:fill="auto"/>
            <w:noWrap/>
            <w:vAlign w:val="center"/>
          </w:tcPr>
          <w:p w:rsidR="004B21D9" w:rsidRPr="00D520F1" w:rsidRDefault="004B21D9" w:rsidP="004B21D9">
            <w:pPr>
              <w:jc w:val="center"/>
              <w:rPr>
                <w:rFonts w:cs="Arial"/>
                <w:color w:val="000000"/>
                <w:szCs w:val="24"/>
              </w:rPr>
            </w:pPr>
            <w:r w:rsidRPr="00D520F1">
              <w:rPr>
                <w:rFonts w:cs="Arial"/>
                <w:color w:val="000000"/>
                <w:szCs w:val="24"/>
              </w:rPr>
              <w:t>86</w:t>
            </w:r>
          </w:p>
        </w:tc>
        <w:tc>
          <w:tcPr>
            <w:tcW w:w="1713" w:type="dxa"/>
            <w:shd w:val="clear" w:color="auto" w:fill="auto"/>
            <w:noWrap/>
            <w:vAlign w:val="center"/>
          </w:tcPr>
          <w:p w:rsidR="004B21D9" w:rsidRPr="00D520F1" w:rsidRDefault="004B21D9" w:rsidP="004B21D9">
            <w:pPr>
              <w:jc w:val="center"/>
              <w:rPr>
                <w:rFonts w:cs="Arial"/>
                <w:color w:val="000000"/>
                <w:szCs w:val="24"/>
              </w:rPr>
            </w:pPr>
            <w:r w:rsidRPr="00D520F1">
              <w:rPr>
                <w:rFonts w:cs="Arial"/>
                <w:color w:val="000000"/>
                <w:szCs w:val="24"/>
              </w:rPr>
              <w:t>0</w:t>
            </w:r>
          </w:p>
        </w:tc>
        <w:tc>
          <w:tcPr>
            <w:tcW w:w="1689" w:type="dxa"/>
            <w:shd w:val="clear" w:color="auto" w:fill="auto"/>
            <w:noWrap/>
            <w:vAlign w:val="center"/>
          </w:tcPr>
          <w:p w:rsidR="004B21D9" w:rsidRPr="00D520F1" w:rsidRDefault="004B21D9" w:rsidP="004B21D9">
            <w:pPr>
              <w:jc w:val="center"/>
              <w:rPr>
                <w:rFonts w:cs="Arial"/>
                <w:color w:val="000000"/>
                <w:szCs w:val="24"/>
              </w:rPr>
            </w:pPr>
            <w:r w:rsidRPr="00D520F1">
              <w:rPr>
                <w:rFonts w:cs="Arial"/>
                <w:color w:val="000000"/>
                <w:szCs w:val="24"/>
              </w:rPr>
              <w:t>14</w:t>
            </w:r>
          </w:p>
        </w:tc>
      </w:tr>
      <w:tr w:rsidR="004B21D9" w:rsidRPr="00935204" w:rsidTr="004B21D9">
        <w:trPr>
          <w:trHeight w:val="315"/>
        </w:trPr>
        <w:tc>
          <w:tcPr>
            <w:tcW w:w="4551" w:type="dxa"/>
            <w:shd w:val="clear" w:color="auto" w:fill="auto"/>
            <w:noWrap/>
            <w:vAlign w:val="center"/>
          </w:tcPr>
          <w:p w:rsidR="004B21D9" w:rsidRPr="00D520F1" w:rsidRDefault="004B21D9" w:rsidP="004B21D9">
            <w:pPr>
              <w:rPr>
                <w:rFonts w:cs="Arial"/>
                <w:color w:val="000000"/>
                <w:szCs w:val="24"/>
              </w:rPr>
            </w:pPr>
            <w:r w:rsidRPr="00D520F1">
              <w:rPr>
                <w:rFonts w:cs="Arial"/>
                <w:color w:val="000000"/>
                <w:szCs w:val="24"/>
              </w:rPr>
              <w:t>Information services</w:t>
            </w:r>
          </w:p>
        </w:tc>
        <w:tc>
          <w:tcPr>
            <w:tcW w:w="1701" w:type="dxa"/>
            <w:shd w:val="clear" w:color="auto" w:fill="auto"/>
            <w:noWrap/>
            <w:vAlign w:val="center"/>
          </w:tcPr>
          <w:p w:rsidR="004B21D9" w:rsidRPr="00D520F1" w:rsidRDefault="004B21D9" w:rsidP="004B21D9">
            <w:pPr>
              <w:jc w:val="center"/>
              <w:rPr>
                <w:rFonts w:cs="Arial"/>
                <w:color w:val="000000"/>
                <w:szCs w:val="24"/>
              </w:rPr>
            </w:pPr>
            <w:r w:rsidRPr="00D520F1">
              <w:rPr>
                <w:rFonts w:cs="Arial"/>
                <w:color w:val="000000"/>
                <w:szCs w:val="24"/>
              </w:rPr>
              <w:t>69</w:t>
            </w:r>
          </w:p>
        </w:tc>
        <w:tc>
          <w:tcPr>
            <w:tcW w:w="1713" w:type="dxa"/>
            <w:shd w:val="clear" w:color="auto" w:fill="auto"/>
            <w:noWrap/>
            <w:vAlign w:val="center"/>
          </w:tcPr>
          <w:p w:rsidR="004B21D9" w:rsidRPr="00D520F1" w:rsidRDefault="004B21D9" w:rsidP="004B21D9">
            <w:pPr>
              <w:jc w:val="center"/>
              <w:rPr>
                <w:rFonts w:cs="Arial"/>
                <w:color w:val="000000"/>
                <w:szCs w:val="24"/>
              </w:rPr>
            </w:pPr>
            <w:r w:rsidRPr="00D520F1">
              <w:rPr>
                <w:rFonts w:cs="Arial"/>
                <w:color w:val="000000"/>
                <w:szCs w:val="24"/>
              </w:rPr>
              <w:t>31</w:t>
            </w:r>
          </w:p>
        </w:tc>
        <w:tc>
          <w:tcPr>
            <w:tcW w:w="1689" w:type="dxa"/>
            <w:shd w:val="clear" w:color="auto" w:fill="auto"/>
            <w:noWrap/>
            <w:vAlign w:val="center"/>
          </w:tcPr>
          <w:p w:rsidR="004B21D9" w:rsidRPr="00D520F1" w:rsidRDefault="004B21D9" w:rsidP="004B21D9">
            <w:pPr>
              <w:jc w:val="center"/>
              <w:rPr>
                <w:rFonts w:cs="Arial"/>
                <w:color w:val="000000"/>
                <w:szCs w:val="24"/>
              </w:rPr>
            </w:pPr>
            <w:r w:rsidRPr="00D520F1">
              <w:rPr>
                <w:rFonts w:cs="Arial"/>
                <w:color w:val="000000"/>
                <w:szCs w:val="24"/>
              </w:rPr>
              <w:t>0</w:t>
            </w:r>
          </w:p>
        </w:tc>
      </w:tr>
      <w:tr w:rsidR="004B21D9" w:rsidRPr="00935204" w:rsidTr="004B21D9">
        <w:trPr>
          <w:trHeight w:val="315"/>
        </w:trPr>
        <w:tc>
          <w:tcPr>
            <w:tcW w:w="4551" w:type="dxa"/>
            <w:shd w:val="clear" w:color="auto" w:fill="auto"/>
            <w:noWrap/>
            <w:vAlign w:val="center"/>
          </w:tcPr>
          <w:p w:rsidR="004B21D9" w:rsidRPr="00D520F1" w:rsidRDefault="004B21D9" w:rsidP="004B21D9">
            <w:pPr>
              <w:rPr>
                <w:rFonts w:cs="Arial"/>
                <w:color w:val="000000"/>
                <w:szCs w:val="24"/>
              </w:rPr>
            </w:pPr>
            <w:r w:rsidRPr="00D520F1">
              <w:rPr>
                <w:rFonts w:cs="Arial"/>
                <w:color w:val="000000"/>
                <w:szCs w:val="24"/>
              </w:rPr>
              <w:t>Library services</w:t>
            </w:r>
          </w:p>
        </w:tc>
        <w:tc>
          <w:tcPr>
            <w:tcW w:w="1701" w:type="dxa"/>
            <w:shd w:val="clear" w:color="auto" w:fill="auto"/>
            <w:noWrap/>
            <w:vAlign w:val="center"/>
          </w:tcPr>
          <w:p w:rsidR="004B21D9" w:rsidRPr="00D520F1" w:rsidRDefault="004B21D9" w:rsidP="004B21D9">
            <w:pPr>
              <w:jc w:val="center"/>
              <w:rPr>
                <w:rFonts w:cs="Arial"/>
                <w:color w:val="000000"/>
                <w:szCs w:val="24"/>
              </w:rPr>
            </w:pPr>
            <w:r w:rsidRPr="00D520F1">
              <w:rPr>
                <w:rFonts w:cs="Arial"/>
                <w:color w:val="000000"/>
                <w:szCs w:val="24"/>
              </w:rPr>
              <w:t>50</w:t>
            </w:r>
          </w:p>
        </w:tc>
        <w:tc>
          <w:tcPr>
            <w:tcW w:w="1713" w:type="dxa"/>
            <w:shd w:val="clear" w:color="auto" w:fill="auto"/>
            <w:noWrap/>
            <w:vAlign w:val="center"/>
          </w:tcPr>
          <w:p w:rsidR="004B21D9" w:rsidRPr="00D520F1" w:rsidRDefault="004B21D9" w:rsidP="004B21D9">
            <w:pPr>
              <w:jc w:val="center"/>
              <w:rPr>
                <w:rFonts w:cs="Arial"/>
                <w:color w:val="000000"/>
                <w:szCs w:val="24"/>
              </w:rPr>
            </w:pPr>
            <w:r w:rsidRPr="00D520F1">
              <w:rPr>
                <w:rFonts w:cs="Arial"/>
                <w:color w:val="000000"/>
                <w:szCs w:val="24"/>
              </w:rPr>
              <w:t>50</w:t>
            </w:r>
          </w:p>
        </w:tc>
        <w:tc>
          <w:tcPr>
            <w:tcW w:w="1689" w:type="dxa"/>
            <w:shd w:val="clear" w:color="auto" w:fill="auto"/>
            <w:noWrap/>
            <w:vAlign w:val="center"/>
          </w:tcPr>
          <w:p w:rsidR="004B21D9" w:rsidRPr="00D520F1" w:rsidRDefault="004B21D9" w:rsidP="004B21D9">
            <w:pPr>
              <w:jc w:val="center"/>
              <w:rPr>
                <w:rFonts w:cs="Arial"/>
                <w:color w:val="000000"/>
                <w:szCs w:val="24"/>
              </w:rPr>
            </w:pPr>
            <w:r w:rsidRPr="00D520F1">
              <w:rPr>
                <w:rFonts w:cs="Arial"/>
                <w:color w:val="000000"/>
                <w:szCs w:val="24"/>
              </w:rPr>
              <w:t>0</w:t>
            </w:r>
          </w:p>
        </w:tc>
      </w:tr>
      <w:tr w:rsidR="004B21D9" w:rsidRPr="00935204" w:rsidTr="004B21D9">
        <w:trPr>
          <w:trHeight w:val="315"/>
        </w:trPr>
        <w:tc>
          <w:tcPr>
            <w:tcW w:w="4551" w:type="dxa"/>
            <w:shd w:val="clear" w:color="auto" w:fill="auto"/>
            <w:noWrap/>
            <w:vAlign w:val="center"/>
          </w:tcPr>
          <w:p w:rsidR="004B21D9" w:rsidRPr="00D520F1" w:rsidRDefault="004B21D9" w:rsidP="004B21D9">
            <w:pPr>
              <w:rPr>
                <w:rFonts w:cs="Arial"/>
                <w:color w:val="000000"/>
                <w:szCs w:val="24"/>
              </w:rPr>
            </w:pPr>
            <w:r w:rsidRPr="00D520F1">
              <w:rPr>
                <w:rFonts w:cs="Arial"/>
                <w:color w:val="000000"/>
                <w:szCs w:val="24"/>
              </w:rPr>
              <w:t>Material in alternative formats</w:t>
            </w:r>
          </w:p>
        </w:tc>
        <w:tc>
          <w:tcPr>
            <w:tcW w:w="1701" w:type="dxa"/>
            <w:shd w:val="clear" w:color="auto" w:fill="auto"/>
            <w:noWrap/>
            <w:vAlign w:val="center"/>
          </w:tcPr>
          <w:p w:rsidR="004B21D9" w:rsidRPr="00D520F1" w:rsidRDefault="004B21D9" w:rsidP="004B21D9">
            <w:pPr>
              <w:jc w:val="center"/>
              <w:rPr>
                <w:rFonts w:cs="Arial"/>
                <w:color w:val="000000"/>
                <w:szCs w:val="24"/>
              </w:rPr>
            </w:pPr>
            <w:r w:rsidRPr="00D520F1">
              <w:rPr>
                <w:rFonts w:cs="Arial"/>
                <w:color w:val="000000"/>
                <w:szCs w:val="24"/>
              </w:rPr>
              <w:t>67</w:t>
            </w:r>
          </w:p>
        </w:tc>
        <w:tc>
          <w:tcPr>
            <w:tcW w:w="1713" w:type="dxa"/>
            <w:shd w:val="clear" w:color="auto" w:fill="auto"/>
            <w:noWrap/>
            <w:vAlign w:val="center"/>
          </w:tcPr>
          <w:p w:rsidR="004B21D9" w:rsidRPr="00D520F1" w:rsidRDefault="004B21D9" w:rsidP="004B21D9">
            <w:pPr>
              <w:jc w:val="center"/>
              <w:rPr>
                <w:rFonts w:cs="Arial"/>
                <w:color w:val="000000"/>
                <w:szCs w:val="24"/>
              </w:rPr>
            </w:pPr>
            <w:r w:rsidRPr="00D520F1">
              <w:rPr>
                <w:rFonts w:cs="Arial"/>
                <w:color w:val="000000"/>
                <w:szCs w:val="24"/>
              </w:rPr>
              <w:t>33</w:t>
            </w:r>
          </w:p>
        </w:tc>
        <w:tc>
          <w:tcPr>
            <w:tcW w:w="1689" w:type="dxa"/>
            <w:shd w:val="clear" w:color="auto" w:fill="auto"/>
            <w:noWrap/>
            <w:vAlign w:val="center"/>
          </w:tcPr>
          <w:p w:rsidR="004B21D9" w:rsidRPr="00D520F1" w:rsidRDefault="004B21D9" w:rsidP="004B21D9">
            <w:pPr>
              <w:jc w:val="center"/>
              <w:rPr>
                <w:rFonts w:cs="Arial"/>
                <w:color w:val="000000"/>
                <w:szCs w:val="24"/>
              </w:rPr>
            </w:pPr>
            <w:r w:rsidRPr="00D520F1">
              <w:rPr>
                <w:rFonts w:cs="Arial"/>
                <w:color w:val="000000"/>
                <w:szCs w:val="24"/>
              </w:rPr>
              <w:t>0</w:t>
            </w:r>
          </w:p>
        </w:tc>
      </w:tr>
      <w:tr w:rsidR="004B21D9" w:rsidRPr="00935204" w:rsidTr="004B21D9">
        <w:trPr>
          <w:trHeight w:val="315"/>
        </w:trPr>
        <w:tc>
          <w:tcPr>
            <w:tcW w:w="4551" w:type="dxa"/>
            <w:shd w:val="clear" w:color="auto" w:fill="auto"/>
            <w:noWrap/>
            <w:vAlign w:val="center"/>
          </w:tcPr>
          <w:p w:rsidR="004B21D9" w:rsidRPr="00D520F1" w:rsidRDefault="004B21D9" w:rsidP="004B21D9">
            <w:pPr>
              <w:rPr>
                <w:rFonts w:cs="Arial"/>
                <w:color w:val="000000"/>
                <w:szCs w:val="24"/>
              </w:rPr>
            </w:pPr>
            <w:r w:rsidRPr="00D520F1">
              <w:rPr>
                <w:rFonts w:cs="Arial"/>
                <w:color w:val="000000"/>
                <w:szCs w:val="24"/>
              </w:rPr>
              <w:t>Optometry services</w:t>
            </w:r>
          </w:p>
        </w:tc>
        <w:tc>
          <w:tcPr>
            <w:tcW w:w="1701" w:type="dxa"/>
            <w:shd w:val="clear" w:color="auto" w:fill="auto"/>
            <w:noWrap/>
            <w:vAlign w:val="center"/>
          </w:tcPr>
          <w:p w:rsidR="004B21D9" w:rsidRPr="00D520F1" w:rsidRDefault="004B21D9" w:rsidP="004B21D9">
            <w:pPr>
              <w:jc w:val="center"/>
              <w:rPr>
                <w:rFonts w:cs="Arial"/>
                <w:color w:val="000000"/>
                <w:szCs w:val="24"/>
              </w:rPr>
            </w:pPr>
            <w:r w:rsidRPr="00D520F1">
              <w:rPr>
                <w:rFonts w:cs="Arial"/>
                <w:color w:val="000000"/>
                <w:szCs w:val="24"/>
              </w:rPr>
              <w:t>60</w:t>
            </w:r>
          </w:p>
        </w:tc>
        <w:tc>
          <w:tcPr>
            <w:tcW w:w="1713" w:type="dxa"/>
            <w:shd w:val="clear" w:color="auto" w:fill="auto"/>
            <w:noWrap/>
            <w:vAlign w:val="center"/>
          </w:tcPr>
          <w:p w:rsidR="004B21D9" w:rsidRPr="00D520F1" w:rsidRDefault="004B21D9" w:rsidP="004B21D9">
            <w:pPr>
              <w:jc w:val="center"/>
              <w:rPr>
                <w:rFonts w:cs="Arial"/>
                <w:color w:val="000000"/>
                <w:szCs w:val="24"/>
              </w:rPr>
            </w:pPr>
            <w:r w:rsidRPr="00D520F1">
              <w:rPr>
                <w:rFonts w:cs="Arial"/>
                <w:color w:val="000000"/>
                <w:szCs w:val="24"/>
              </w:rPr>
              <w:t>20</w:t>
            </w:r>
          </w:p>
        </w:tc>
        <w:tc>
          <w:tcPr>
            <w:tcW w:w="1689" w:type="dxa"/>
            <w:shd w:val="clear" w:color="auto" w:fill="auto"/>
            <w:noWrap/>
            <w:vAlign w:val="center"/>
          </w:tcPr>
          <w:p w:rsidR="004B21D9" w:rsidRPr="00D520F1" w:rsidRDefault="004B21D9" w:rsidP="004B21D9">
            <w:pPr>
              <w:jc w:val="center"/>
              <w:rPr>
                <w:rFonts w:cs="Arial"/>
                <w:color w:val="000000"/>
                <w:szCs w:val="24"/>
              </w:rPr>
            </w:pPr>
            <w:r w:rsidRPr="00D520F1">
              <w:rPr>
                <w:rFonts w:cs="Arial"/>
                <w:color w:val="000000"/>
                <w:szCs w:val="24"/>
              </w:rPr>
              <w:t>20</w:t>
            </w:r>
          </w:p>
        </w:tc>
      </w:tr>
      <w:tr w:rsidR="004B21D9" w:rsidRPr="00935204" w:rsidTr="004B21D9">
        <w:trPr>
          <w:trHeight w:val="315"/>
        </w:trPr>
        <w:tc>
          <w:tcPr>
            <w:tcW w:w="4551" w:type="dxa"/>
            <w:shd w:val="clear" w:color="auto" w:fill="auto"/>
            <w:noWrap/>
            <w:vAlign w:val="center"/>
          </w:tcPr>
          <w:p w:rsidR="004B21D9" w:rsidRPr="00D520F1" w:rsidRDefault="004B21D9" w:rsidP="004B21D9">
            <w:pPr>
              <w:rPr>
                <w:rFonts w:cs="Arial"/>
                <w:color w:val="000000"/>
                <w:szCs w:val="24"/>
              </w:rPr>
            </w:pPr>
            <w:r w:rsidRPr="00D520F1">
              <w:rPr>
                <w:rFonts w:cs="Arial"/>
                <w:color w:val="000000"/>
                <w:szCs w:val="24"/>
              </w:rPr>
              <w:t>Other</w:t>
            </w:r>
          </w:p>
        </w:tc>
        <w:tc>
          <w:tcPr>
            <w:tcW w:w="1701" w:type="dxa"/>
            <w:shd w:val="clear" w:color="auto" w:fill="auto"/>
            <w:noWrap/>
            <w:vAlign w:val="center"/>
          </w:tcPr>
          <w:p w:rsidR="004B21D9" w:rsidRPr="00D520F1" w:rsidRDefault="004B21D9" w:rsidP="004B21D9">
            <w:pPr>
              <w:jc w:val="center"/>
              <w:rPr>
                <w:rFonts w:cs="Arial"/>
                <w:color w:val="000000"/>
                <w:szCs w:val="24"/>
              </w:rPr>
            </w:pPr>
            <w:r w:rsidRPr="00D520F1">
              <w:rPr>
                <w:rFonts w:cs="Arial"/>
                <w:color w:val="000000"/>
                <w:szCs w:val="24"/>
              </w:rPr>
              <w:t>50</w:t>
            </w:r>
          </w:p>
        </w:tc>
        <w:tc>
          <w:tcPr>
            <w:tcW w:w="1713" w:type="dxa"/>
            <w:shd w:val="clear" w:color="auto" w:fill="auto"/>
            <w:noWrap/>
            <w:vAlign w:val="center"/>
          </w:tcPr>
          <w:p w:rsidR="004B21D9" w:rsidRPr="00D520F1" w:rsidRDefault="004B21D9" w:rsidP="004B21D9">
            <w:pPr>
              <w:jc w:val="center"/>
              <w:rPr>
                <w:rFonts w:cs="Arial"/>
                <w:color w:val="000000"/>
                <w:szCs w:val="24"/>
              </w:rPr>
            </w:pPr>
            <w:r w:rsidRPr="00D520F1">
              <w:rPr>
                <w:rFonts w:cs="Arial"/>
                <w:color w:val="000000"/>
                <w:szCs w:val="24"/>
              </w:rPr>
              <w:t>50</w:t>
            </w:r>
          </w:p>
        </w:tc>
        <w:tc>
          <w:tcPr>
            <w:tcW w:w="1689" w:type="dxa"/>
            <w:shd w:val="clear" w:color="auto" w:fill="auto"/>
            <w:noWrap/>
            <w:vAlign w:val="center"/>
          </w:tcPr>
          <w:p w:rsidR="004B21D9" w:rsidRPr="00D520F1" w:rsidRDefault="004B21D9" w:rsidP="004B21D9">
            <w:pPr>
              <w:jc w:val="center"/>
              <w:rPr>
                <w:rFonts w:cs="Arial"/>
                <w:color w:val="000000"/>
                <w:szCs w:val="24"/>
              </w:rPr>
            </w:pPr>
            <w:r w:rsidRPr="00D520F1">
              <w:rPr>
                <w:rFonts w:cs="Arial"/>
                <w:color w:val="000000"/>
                <w:szCs w:val="24"/>
              </w:rPr>
              <w:t>0</w:t>
            </w:r>
          </w:p>
        </w:tc>
      </w:tr>
      <w:tr w:rsidR="004B21D9" w:rsidRPr="00935204" w:rsidTr="004B21D9">
        <w:trPr>
          <w:trHeight w:val="315"/>
        </w:trPr>
        <w:tc>
          <w:tcPr>
            <w:tcW w:w="4551" w:type="dxa"/>
            <w:shd w:val="clear" w:color="auto" w:fill="auto"/>
            <w:noWrap/>
            <w:vAlign w:val="center"/>
            <w:hideMark/>
          </w:tcPr>
          <w:p w:rsidR="004B21D9" w:rsidRPr="00D520F1" w:rsidRDefault="004B21D9" w:rsidP="004B21D9">
            <w:pPr>
              <w:rPr>
                <w:rFonts w:cs="Arial"/>
                <w:color w:val="000000"/>
                <w:szCs w:val="24"/>
              </w:rPr>
            </w:pPr>
            <w:r w:rsidRPr="00D520F1">
              <w:rPr>
                <w:rFonts w:cs="Arial"/>
                <w:color w:val="000000"/>
                <w:szCs w:val="24"/>
              </w:rPr>
              <w:t>Orientation and mobility training</w:t>
            </w:r>
          </w:p>
        </w:tc>
        <w:tc>
          <w:tcPr>
            <w:tcW w:w="1701" w:type="dxa"/>
            <w:shd w:val="clear" w:color="auto" w:fill="auto"/>
            <w:noWrap/>
            <w:vAlign w:val="center"/>
            <w:hideMark/>
          </w:tcPr>
          <w:p w:rsidR="004B21D9" w:rsidRPr="00D520F1" w:rsidRDefault="004B21D9" w:rsidP="004B21D9">
            <w:pPr>
              <w:jc w:val="center"/>
              <w:rPr>
                <w:rFonts w:cs="Arial"/>
                <w:color w:val="000000"/>
                <w:szCs w:val="24"/>
              </w:rPr>
            </w:pPr>
            <w:r w:rsidRPr="00D520F1">
              <w:rPr>
                <w:rFonts w:cs="Arial"/>
                <w:color w:val="000000"/>
                <w:szCs w:val="24"/>
              </w:rPr>
              <w:t>78</w:t>
            </w:r>
          </w:p>
        </w:tc>
        <w:tc>
          <w:tcPr>
            <w:tcW w:w="1713" w:type="dxa"/>
            <w:shd w:val="clear" w:color="auto" w:fill="auto"/>
            <w:noWrap/>
            <w:vAlign w:val="center"/>
            <w:hideMark/>
          </w:tcPr>
          <w:p w:rsidR="004B21D9" w:rsidRPr="00D520F1" w:rsidRDefault="004B21D9" w:rsidP="004B21D9">
            <w:pPr>
              <w:jc w:val="center"/>
              <w:rPr>
                <w:rFonts w:cs="Arial"/>
                <w:color w:val="000000"/>
                <w:szCs w:val="24"/>
              </w:rPr>
            </w:pPr>
            <w:r w:rsidRPr="00D520F1">
              <w:rPr>
                <w:rFonts w:cs="Arial"/>
                <w:color w:val="000000"/>
                <w:szCs w:val="24"/>
              </w:rPr>
              <w:t>22</w:t>
            </w:r>
          </w:p>
        </w:tc>
        <w:tc>
          <w:tcPr>
            <w:tcW w:w="1689" w:type="dxa"/>
            <w:shd w:val="clear" w:color="auto" w:fill="auto"/>
            <w:noWrap/>
            <w:vAlign w:val="center"/>
            <w:hideMark/>
          </w:tcPr>
          <w:p w:rsidR="004B21D9" w:rsidRPr="00D520F1" w:rsidRDefault="004B21D9" w:rsidP="004B21D9">
            <w:pPr>
              <w:jc w:val="center"/>
              <w:rPr>
                <w:rFonts w:cs="Arial"/>
                <w:color w:val="000000"/>
                <w:szCs w:val="24"/>
              </w:rPr>
            </w:pPr>
            <w:r w:rsidRPr="00D520F1">
              <w:rPr>
                <w:rFonts w:cs="Arial"/>
                <w:color w:val="000000"/>
                <w:szCs w:val="24"/>
              </w:rPr>
              <w:t>0</w:t>
            </w:r>
          </w:p>
        </w:tc>
      </w:tr>
      <w:tr w:rsidR="004B21D9" w:rsidRPr="00935204" w:rsidTr="004B21D9">
        <w:trPr>
          <w:trHeight w:val="315"/>
        </w:trPr>
        <w:tc>
          <w:tcPr>
            <w:tcW w:w="4551" w:type="dxa"/>
            <w:shd w:val="clear" w:color="auto" w:fill="auto"/>
            <w:noWrap/>
            <w:vAlign w:val="center"/>
          </w:tcPr>
          <w:p w:rsidR="004B21D9" w:rsidRPr="00D520F1" w:rsidRDefault="004B21D9" w:rsidP="004B21D9">
            <w:pPr>
              <w:rPr>
                <w:rFonts w:cs="Arial"/>
                <w:color w:val="000000"/>
                <w:szCs w:val="24"/>
              </w:rPr>
            </w:pPr>
            <w:r w:rsidRPr="00D520F1">
              <w:rPr>
                <w:rFonts w:cs="Arial"/>
                <w:color w:val="000000"/>
                <w:szCs w:val="24"/>
              </w:rPr>
              <w:t>Recreation and leisure activities</w:t>
            </w:r>
          </w:p>
        </w:tc>
        <w:tc>
          <w:tcPr>
            <w:tcW w:w="1701" w:type="dxa"/>
            <w:shd w:val="clear" w:color="auto" w:fill="auto"/>
            <w:noWrap/>
            <w:vAlign w:val="center"/>
          </w:tcPr>
          <w:p w:rsidR="004B21D9" w:rsidRPr="00D520F1" w:rsidRDefault="004B21D9" w:rsidP="004B21D9">
            <w:pPr>
              <w:jc w:val="center"/>
              <w:rPr>
                <w:rFonts w:cs="Arial"/>
                <w:color w:val="000000"/>
                <w:szCs w:val="24"/>
              </w:rPr>
            </w:pPr>
            <w:r w:rsidRPr="00D520F1">
              <w:rPr>
                <w:rFonts w:cs="Arial"/>
                <w:color w:val="000000"/>
                <w:szCs w:val="24"/>
              </w:rPr>
              <w:t>78</w:t>
            </w:r>
          </w:p>
        </w:tc>
        <w:tc>
          <w:tcPr>
            <w:tcW w:w="1713" w:type="dxa"/>
            <w:shd w:val="clear" w:color="auto" w:fill="auto"/>
            <w:noWrap/>
            <w:vAlign w:val="center"/>
          </w:tcPr>
          <w:p w:rsidR="004B21D9" w:rsidRPr="00D520F1" w:rsidRDefault="004B21D9" w:rsidP="004B21D9">
            <w:pPr>
              <w:jc w:val="center"/>
              <w:rPr>
                <w:rFonts w:cs="Arial"/>
                <w:color w:val="000000"/>
                <w:szCs w:val="24"/>
              </w:rPr>
            </w:pPr>
            <w:r w:rsidRPr="00D520F1">
              <w:rPr>
                <w:rFonts w:cs="Arial"/>
                <w:color w:val="000000"/>
                <w:szCs w:val="24"/>
              </w:rPr>
              <w:t>11</w:t>
            </w:r>
          </w:p>
        </w:tc>
        <w:tc>
          <w:tcPr>
            <w:tcW w:w="1689" w:type="dxa"/>
            <w:shd w:val="clear" w:color="auto" w:fill="auto"/>
            <w:noWrap/>
            <w:vAlign w:val="center"/>
          </w:tcPr>
          <w:p w:rsidR="004B21D9" w:rsidRPr="00D520F1" w:rsidRDefault="004B21D9" w:rsidP="004B21D9">
            <w:pPr>
              <w:jc w:val="center"/>
              <w:rPr>
                <w:rFonts w:cs="Arial"/>
                <w:color w:val="000000"/>
                <w:szCs w:val="24"/>
              </w:rPr>
            </w:pPr>
            <w:r w:rsidRPr="00D520F1">
              <w:rPr>
                <w:rFonts w:cs="Arial"/>
                <w:color w:val="000000"/>
                <w:szCs w:val="24"/>
              </w:rPr>
              <w:t>11</w:t>
            </w:r>
          </w:p>
        </w:tc>
      </w:tr>
      <w:tr w:rsidR="004B21D9" w:rsidRPr="00935204" w:rsidTr="004B21D9">
        <w:trPr>
          <w:trHeight w:val="315"/>
        </w:trPr>
        <w:tc>
          <w:tcPr>
            <w:tcW w:w="4551" w:type="dxa"/>
            <w:shd w:val="clear" w:color="auto" w:fill="auto"/>
            <w:noWrap/>
            <w:vAlign w:val="center"/>
            <w:hideMark/>
          </w:tcPr>
          <w:p w:rsidR="004B21D9" w:rsidRPr="00D520F1" w:rsidRDefault="004B21D9" w:rsidP="004B21D9">
            <w:pPr>
              <w:rPr>
                <w:rFonts w:cs="Arial"/>
                <w:color w:val="000000"/>
                <w:szCs w:val="24"/>
              </w:rPr>
            </w:pPr>
            <w:r w:rsidRPr="00D520F1">
              <w:rPr>
                <w:rFonts w:cs="Arial"/>
                <w:color w:val="000000"/>
                <w:szCs w:val="24"/>
              </w:rPr>
              <w:t>Research</w:t>
            </w:r>
          </w:p>
        </w:tc>
        <w:tc>
          <w:tcPr>
            <w:tcW w:w="1701" w:type="dxa"/>
            <w:shd w:val="clear" w:color="auto" w:fill="auto"/>
            <w:noWrap/>
            <w:vAlign w:val="center"/>
            <w:hideMark/>
          </w:tcPr>
          <w:p w:rsidR="004B21D9" w:rsidRPr="00D520F1" w:rsidRDefault="004B21D9" w:rsidP="004B21D9">
            <w:pPr>
              <w:jc w:val="center"/>
              <w:rPr>
                <w:rFonts w:cs="Arial"/>
                <w:color w:val="000000"/>
                <w:szCs w:val="24"/>
              </w:rPr>
            </w:pPr>
            <w:r w:rsidRPr="00D520F1">
              <w:rPr>
                <w:rFonts w:cs="Arial"/>
                <w:color w:val="000000"/>
                <w:szCs w:val="24"/>
              </w:rPr>
              <w:t>67</w:t>
            </w:r>
          </w:p>
        </w:tc>
        <w:tc>
          <w:tcPr>
            <w:tcW w:w="1713" w:type="dxa"/>
            <w:shd w:val="clear" w:color="auto" w:fill="auto"/>
            <w:noWrap/>
            <w:vAlign w:val="center"/>
            <w:hideMark/>
          </w:tcPr>
          <w:p w:rsidR="004B21D9" w:rsidRPr="00D520F1" w:rsidRDefault="004B21D9" w:rsidP="004B21D9">
            <w:pPr>
              <w:jc w:val="center"/>
              <w:rPr>
                <w:rFonts w:cs="Arial"/>
                <w:color w:val="000000"/>
                <w:szCs w:val="24"/>
              </w:rPr>
            </w:pPr>
            <w:r w:rsidRPr="00D520F1">
              <w:rPr>
                <w:rFonts w:cs="Arial"/>
                <w:color w:val="000000"/>
                <w:szCs w:val="24"/>
              </w:rPr>
              <w:t>33</w:t>
            </w:r>
          </w:p>
        </w:tc>
        <w:tc>
          <w:tcPr>
            <w:tcW w:w="1689" w:type="dxa"/>
            <w:shd w:val="clear" w:color="auto" w:fill="auto"/>
            <w:noWrap/>
            <w:vAlign w:val="center"/>
            <w:hideMark/>
          </w:tcPr>
          <w:p w:rsidR="004B21D9" w:rsidRPr="00D520F1" w:rsidRDefault="004B21D9" w:rsidP="004B21D9">
            <w:pPr>
              <w:jc w:val="center"/>
              <w:rPr>
                <w:rFonts w:cs="Arial"/>
                <w:color w:val="000000"/>
                <w:szCs w:val="24"/>
              </w:rPr>
            </w:pPr>
            <w:r w:rsidRPr="00D520F1">
              <w:rPr>
                <w:rFonts w:cs="Arial"/>
                <w:color w:val="000000"/>
                <w:szCs w:val="24"/>
              </w:rPr>
              <w:t>0</w:t>
            </w:r>
          </w:p>
        </w:tc>
      </w:tr>
    </w:tbl>
    <w:p w:rsidR="004B21D9" w:rsidRPr="00D520F1" w:rsidRDefault="004B21D9" w:rsidP="00D520F1">
      <w:pPr>
        <w:spacing w:after="240"/>
      </w:pPr>
    </w:p>
    <w:p w:rsidR="004B21D9" w:rsidRPr="00D520F1" w:rsidRDefault="004B21D9" w:rsidP="00D520F1">
      <w:pPr>
        <w:pStyle w:val="Heading3"/>
      </w:pPr>
      <w:bookmarkStart w:id="82" w:name="_Toc428361030"/>
      <w:bookmarkStart w:id="83" w:name="_Toc428361563"/>
      <w:bookmarkStart w:id="84" w:name="_Toc428362671"/>
      <w:bookmarkStart w:id="85" w:name="_Toc428362774"/>
      <w:r w:rsidRPr="00D520F1">
        <w:t>Acknowledgements</w:t>
      </w:r>
      <w:bookmarkEnd w:id="82"/>
      <w:bookmarkEnd w:id="83"/>
      <w:bookmarkEnd w:id="84"/>
      <w:bookmarkEnd w:id="85"/>
    </w:p>
    <w:p w:rsidR="004B21D9" w:rsidRPr="00D520F1" w:rsidRDefault="004B21D9" w:rsidP="00D520F1">
      <w:r w:rsidRPr="00D520F1">
        <w:t>NDS gratefully acknowledges the support of the NSW Government in establishing the NDS Centre for Applied Disability Research.</w:t>
      </w:r>
    </w:p>
    <w:p w:rsidR="004B21D9" w:rsidRPr="00D520F1" w:rsidRDefault="004B21D9" w:rsidP="00D520F1">
      <w:r w:rsidRPr="00D520F1">
        <w:t>Vision 2020 Australia would like to acknowledge funding from the Australian Government under the Chronic Disease Prevention and Service Improvement Fund.</w:t>
      </w:r>
    </w:p>
    <w:p w:rsidR="004B21D9" w:rsidRPr="00D520F1" w:rsidRDefault="004B21D9" w:rsidP="00D520F1">
      <w:r w:rsidRPr="00D520F1">
        <w:lastRenderedPageBreak/>
        <w:t xml:space="preserve">National Disability Services, Vision 2020 Australia and the Australian Blindness Forum would like to acknowledge the generous support from the organisations who provided technical advice on the survey: </w:t>
      </w:r>
    </w:p>
    <w:p w:rsidR="004B21D9" w:rsidRPr="00D520F1" w:rsidRDefault="004B21D9" w:rsidP="00D520F1">
      <w:r w:rsidRPr="00D520F1">
        <w:t>Sharon Bentley, Australian College of Optometry</w:t>
      </w:r>
    </w:p>
    <w:p w:rsidR="004B21D9" w:rsidRPr="00D520F1" w:rsidRDefault="004B21D9" w:rsidP="00D520F1">
      <w:r w:rsidRPr="00D520F1">
        <w:t>Rosemary Boyd, Blind Citizens Australia</w:t>
      </w:r>
    </w:p>
    <w:p w:rsidR="004B21D9" w:rsidRPr="00D520F1" w:rsidRDefault="004B21D9" w:rsidP="00D520F1">
      <w:r w:rsidRPr="00D520F1">
        <w:t>Jeremy Hill, Guide Dogs NSW/ACT</w:t>
      </w:r>
    </w:p>
    <w:p w:rsidR="004B21D9" w:rsidRPr="00D520F1" w:rsidRDefault="004B21D9" w:rsidP="00D520F1">
      <w:r w:rsidRPr="00D520F1">
        <w:t>Angela O’Brien, Guide Dogs NSW/ACT</w:t>
      </w:r>
    </w:p>
    <w:p w:rsidR="004B21D9" w:rsidRPr="00D520F1" w:rsidRDefault="004B21D9" w:rsidP="00D520F1">
      <w:r w:rsidRPr="00D520F1">
        <w:t>Patrick Shaddock, Guide Dogs NSW/ACT</w:t>
      </w:r>
    </w:p>
    <w:p w:rsidR="004B21D9" w:rsidRPr="00D520F1" w:rsidRDefault="004B21D9" w:rsidP="00D520F1">
      <w:r w:rsidRPr="00D520F1">
        <w:t>Dan English, Guide Dogs Tasmania</w:t>
      </w:r>
    </w:p>
    <w:p w:rsidR="004B21D9" w:rsidRPr="00D520F1" w:rsidRDefault="004B21D9" w:rsidP="00D520F1">
      <w:r w:rsidRPr="00D520F1">
        <w:t>Steve Hurd, Guide Dogs Victoria</w:t>
      </w:r>
    </w:p>
    <w:p w:rsidR="004B21D9" w:rsidRPr="00D520F1" w:rsidRDefault="004B21D9" w:rsidP="00D520F1">
      <w:r w:rsidRPr="00D520F1">
        <w:t>Tim Connell, Quantum</w:t>
      </w:r>
    </w:p>
    <w:p w:rsidR="004B21D9" w:rsidRPr="00D520F1" w:rsidRDefault="004B21D9" w:rsidP="00D520F1">
      <w:r w:rsidRPr="00D520F1">
        <w:t>Aronne Guaglio, Vision Australia</w:t>
      </w:r>
    </w:p>
    <w:p w:rsidR="008C18E6" w:rsidRPr="00D0678E" w:rsidRDefault="008C18E6" w:rsidP="0072099E"/>
    <w:sectPr w:rsidR="008C18E6" w:rsidRPr="00D0678E" w:rsidSect="000D0FA0">
      <w:footerReference w:type="default" r:id="rId18"/>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366C" w:rsidRDefault="00AC366C" w:rsidP="000278D7">
      <w:pPr>
        <w:spacing w:after="0"/>
      </w:pPr>
      <w:r>
        <w:separator/>
      </w:r>
    </w:p>
  </w:endnote>
  <w:endnote w:type="continuationSeparator" w:id="0">
    <w:p w:rsidR="00AC366C" w:rsidRDefault="00AC366C" w:rsidP="000278D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panose1 w:val="02040503050201020203"/>
    <w:charset w:val="00"/>
    <w:family w:val="roman"/>
    <w:notTrueType/>
    <w:pitch w:val="variable"/>
    <w:sig w:usb0="60000287" w:usb1="00000001" w:usb2="00000000" w:usb3="00000000" w:csb0="0000019F" w:csb1="00000000"/>
  </w:font>
  <w:font w:name="HelveticaNeue LightCond">
    <w:panose1 w:val="00000000000000000000"/>
    <w:charset w:val="00"/>
    <w:family w:val="swiss"/>
    <w:notTrueType/>
    <w:pitch w:val="variable"/>
    <w:sig w:usb0="00000003" w:usb1="00000000" w:usb2="00000000" w:usb3="00000000" w:csb0="00000001" w:csb1="00000000"/>
  </w:font>
  <w:font w:name="HelveticaNeue Condensed">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1878792"/>
      <w:docPartObj>
        <w:docPartGallery w:val="Page Numbers (Bottom of Page)"/>
        <w:docPartUnique/>
      </w:docPartObj>
    </w:sdtPr>
    <w:sdtEndPr>
      <w:rPr>
        <w:noProof/>
      </w:rPr>
    </w:sdtEndPr>
    <w:sdtContent>
      <w:p w:rsidR="00AC366C" w:rsidRDefault="00AC366C">
        <w:pPr>
          <w:pStyle w:val="Footer"/>
          <w:jc w:val="right"/>
        </w:pPr>
        <w:r>
          <w:fldChar w:fldCharType="begin"/>
        </w:r>
        <w:r>
          <w:instrText xml:space="preserve"> PAGE   \* MERGEFORMAT </w:instrText>
        </w:r>
        <w:r>
          <w:fldChar w:fldCharType="separate"/>
        </w:r>
        <w:r w:rsidR="0092493E">
          <w:rPr>
            <w:noProof/>
          </w:rPr>
          <w:t>19</w:t>
        </w:r>
        <w:r>
          <w:rPr>
            <w:noProof/>
          </w:rPr>
          <w:fldChar w:fldCharType="end"/>
        </w:r>
      </w:p>
    </w:sdtContent>
  </w:sdt>
  <w:p w:rsidR="00AC366C" w:rsidRDefault="00AC366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366C" w:rsidRDefault="00AC366C" w:rsidP="000278D7">
      <w:pPr>
        <w:spacing w:after="0"/>
      </w:pPr>
      <w:r>
        <w:separator/>
      </w:r>
    </w:p>
  </w:footnote>
  <w:footnote w:type="continuationSeparator" w:id="0">
    <w:p w:rsidR="00AC366C" w:rsidRDefault="00AC366C" w:rsidP="000278D7">
      <w:pPr>
        <w:spacing w:after="0"/>
      </w:pPr>
      <w:r>
        <w:continuationSeparator/>
      </w:r>
    </w:p>
  </w:footnote>
  <w:footnote w:id="1">
    <w:p w:rsidR="00AC366C" w:rsidRPr="00EE106B" w:rsidRDefault="00AC366C" w:rsidP="002A4BEF">
      <w:pPr>
        <w:spacing w:after="0"/>
      </w:pPr>
      <w:r w:rsidRPr="002A4BEF">
        <w:rPr>
          <w:vertAlign w:val="superscript"/>
        </w:rPr>
        <w:footnoteRef/>
      </w:r>
      <w:r w:rsidRPr="002A4BEF">
        <w:rPr>
          <w:vertAlign w:val="superscript"/>
        </w:rPr>
        <w:t xml:space="preserve"> </w:t>
      </w:r>
      <w:r w:rsidRPr="00EE106B">
        <w:t>Note that some client</w:t>
      </w:r>
      <w:r>
        <w:t>s might present more than once.</w:t>
      </w:r>
    </w:p>
  </w:footnote>
  <w:footnote w:id="2">
    <w:p w:rsidR="00AC366C" w:rsidRPr="00EE106B" w:rsidRDefault="00AC366C" w:rsidP="00130A10">
      <w:pPr>
        <w:pStyle w:val="NoSpacing"/>
      </w:pPr>
      <w:r w:rsidRPr="002A4BEF">
        <w:rPr>
          <w:rStyle w:val="FootnoteReference"/>
        </w:rPr>
        <w:footnoteRef/>
      </w:r>
      <w:r w:rsidRPr="002A4BEF">
        <w:rPr>
          <w:vertAlign w:val="superscript"/>
        </w:rPr>
        <w:t xml:space="preserve"> </w:t>
      </w:r>
      <w:r w:rsidRPr="00130A10">
        <w:t>Based on the Social and Community Services Industry Award.</w:t>
      </w:r>
      <w:r w:rsidRPr="00EE106B">
        <w:t xml:space="preserve"> http://www.fairwork.gov.au/Pay/</w:t>
      </w:r>
      <w:r w:rsidRPr="00EE106B">
        <w:br/>
        <w:t>Community Services Worker Level 4, and the number of organisations surveyed.</w:t>
      </w:r>
    </w:p>
    <w:p w:rsidR="00AC366C" w:rsidRDefault="00AC366C">
      <w:pPr>
        <w:pStyle w:val="FootnoteText"/>
      </w:pPr>
    </w:p>
  </w:footnote>
  <w:footnote w:id="3">
    <w:p w:rsidR="00AC366C" w:rsidRDefault="00AC366C" w:rsidP="00130A10">
      <w:r>
        <w:rPr>
          <w:rStyle w:val="FootnoteReference"/>
        </w:rPr>
        <w:footnoteRef/>
      </w:r>
      <w:r>
        <w:t xml:space="preserve"> </w:t>
      </w:r>
      <w:r w:rsidRPr="00420F13">
        <w:t>Includes people with uncorrected refractive error.</w:t>
      </w:r>
    </w:p>
  </w:footnote>
  <w:footnote w:id="4">
    <w:p w:rsidR="00AC366C" w:rsidRDefault="00AC366C" w:rsidP="00130A10">
      <w:r>
        <w:rPr>
          <w:rStyle w:val="FootnoteReference"/>
        </w:rPr>
        <w:footnoteRef/>
      </w:r>
      <w:r>
        <w:t xml:space="preserve"> </w:t>
      </w:r>
      <w:r w:rsidRPr="00420F13">
        <w:t>The Economic Impact and Cost of Vision Loss in Australia (2010), Access Economics</w:t>
      </w:r>
    </w:p>
  </w:footnote>
  <w:footnote w:id="5">
    <w:p w:rsidR="00AC366C" w:rsidRDefault="00AC366C" w:rsidP="002A4BEF">
      <w:pPr>
        <w:pStyle w:val="NoSpacing"/>
      </w:pPr>
      <w:r>
        <w:rPr>
          <w:rStyle w:val="FootnoteReference"/>
        </w:rPr>
        <w:footnoteRef/>
      </w:r>
      <w:r>
        <w:t xml:space="preserve"> </w:t>
      </w:r>
      <w:r w:rsidRPr="00420F13">
        <w:t>Ibid</w:t>
      </w:r>
    </w:p>
  </w:footnote>
  <w:footnote w:id="6">
    <w:p w:rsidR="00AC366C" w:rsidRDefault="00AC366C" w:rsidP="002A4BEF">
      <w:pPr>
        <w:pStyle w:val="NoSpacing"/>
      </w:pPr>
      <w:r>
        <w:rPr>
          <w:rStyle w:val="FootnoteReference"/>
        </w:rPr>
        <w:footnoteRef/>
      </w:r>
      <w:r>
        <w:t xml:space="preserve"> </w:t>
      </w:r>
      <w:r w:rsidRPr="00420F13">
        <w:t>National Indigenous Eye Health Survey (2009), The Centre for Eye Research Australia</w:t>
      </w:r>
    </w:p>
  </w:footnote>
  <w:footnote w:id="7">
    <w:p w:rsidR="00AC366C" w:rsidRDefault="00AC366C" w:rsidP="002A4BEF">
      <w:pPr>
        <w:pStyle w:val="NoSpacing"/>
      </w:pPr>
      <w:r>
        <w:rPr>
          <w:rStyle w:val="FootnoteReference"/>
        </w:rPr>
        <w:footnoteRef/>
      </w:r>
      <w:r>
        <w:t xml:space="preserve"> </w:t>
      </w:r>
      <w:r w:rsidRPr="00420F13">
        <w:t>The Economic Impact and Cost of Vision Loss in Australia (2010), Access Economics</w:t>
      </w:r>
    </w:p>
  </w:footnote>
  <w:footnote w:id="8">
    <w:p w:rsidR="00AC366C" w:rsidRDefault="00AC366C" w:rsidP="002A4BEF">
      <w:pPr>
        <w:pStyle w:val="NoSpacing"/>
      </w:pPr>
      <w:r>
        <w:rPr>
          <w:rStyle w:val="FootnoteReference"/>
        </w:rPr>
        <w:footnoteRef/>
      </w:r>
      <w:r>
        <w:t xml:space="preserve"> </w:t>
      </w:r>
      <w:r w:rsidRPr="00420F13">
        <w:t>McCarty, C.A, Nanjan, M.B &amp; Taylor, H.R. (2001) Vision impairment predicts 5 year mortality, British Journal of Opthamology, 85, pp. 322-326</w:t>
      </w:r>
    </w:p>
  </w:footnote>
  <w:footnote w:id="9">
    <w:p w:rsidR="00AC366C" w:rsidRDefault="00AC366C" w:rsidP="002A4BEF">
      <w:pPr>
        <w:pStyle w:val="NoSpacing"/>
      </w:pPr>
      <w:r>
        <w:rPr>
          <w:rStyle w:val="FootnoteReference"/>
        </w:rPr>
        <w:footnoteRef/>
      </w:r>
      <w:r>
        <w:t xml:space="preserve"> </w:t>
      </w:r>
      <w:r w:rsidRPr="00420F13">
        <w:t>The response rates reported are calculated as percentages of the thirty organisations that chose to respond, and do not include the nine non-participating organisations.</w:t>
      </w:r>
    </w:p>
  </w:footnote>
  <w:footnote w:id="10">
    <w:p w:rsidR="00AC366C" w:rsidRDefault="00AC366C" w:rsidP="002A4BEF">
      <w:pPr>
        <w:pStyle w:val="NoSpacing"/>
      </w:pPr>
      <w:r>
        <w:rPr>
          <w:rStyle w:val="FootnoteReference"/>
        </w:rPr>
        <w:footnoteRef/>
      </w:r>
      <w:r>
        <w:t xml:space="preserve"> </w:t>
      </w:r>
      <w:r w:rsidRPr="00420F13">
        <w:t>Some questions were not compulsory for respondents to answer, as such response rates varied across the survey. The only questions that were compulsory were the questions asking for Service Type/s delivered by the responding organisation.</w:t>
      </w:r>
    </w:p>
  </w:footnote>
  <w:footnote w:id="11">
    <w:p w:rsidR="00AC366C" w:rsidRDefault="00AC366C" w:rsidP="002A4BEF">
      <w:pPr>
        <w:pStyle w:val="NoSpacing"/>
      </w:pPr>
      <w:r>
        <w:rPr>
          <w:rStyle w:val="FootnoteReference"/>
        </w:rPr>
        <w:footnoteRef/>
      </w:r>
      <w:r>
        <w:t xml:space="preserve"> </w:t>
      </w:r>
      <w:r w:rsidRPr="00420F13">
        <w:t>Note: while not defined in the survey, the project team took optometry services to cover optometrists, orthoptists and occupational therapists undertaking assessments of functioning, and other services that might occur in a low vision clinic.</w:t>
      </w:r>
    </w:p>
  </w:footnote>
  <w:footnote w:id="12">
    <w:p w:rsidR="00AC366C" w:rsidRDefault="00AC366C" w:rsidP="00D8375F">
      <w:pPr>
        <w:pStyle w:val="NoSpacing"/>
      </w:pPr>
      <w:r>
        <w:rPr>
          <w:rStyle w:val="FootnoteReference"/>
        </w:rPr>
        <w:footnoteRef/>
      </w:r>
      <w:r>
        <w:t xml:space="preserve"> </w:t>
      </w:r>
      <w:r w:rsidRPr="00420F13">
        <w:t>Unique client = one person who accesses one or multiple services</w:t>
      </w:r>
    </w:p>
  </w:footnote>
  <w:footnote w:id="13">
    <w:p w:rsidR="00AC366C" w:rsidRDefault="00AC366C" w:rsidP="00D8375F">
      <w:pPr>
        <w:pStyle w:val="NoSpacing"/>
      </w:pPr>
      <w:r>
        <w:rPr>
          <w:rStyle w:val="FootnoteReference"/>
        </w:rPr>
        <w:footnoteRef/>
      </w:r>
      <w:r>
        <w:t xml:space="preserve"> </w:t>
      </w:r>
      <w:r w:rsidRPr="00420F13">
        <w:t>It is possible that a client attended multiple organisations to access different services and therefore will have</w:t>
      </w:r>
      <w:r w:rsidRPr="00420F13">
        <w:br/>
        <w:t>been counted more than once in the figure of unique clients. Also noting that people who are blind or vision impaired may seek services at episodic times, such as when changing jobs or when a change in vision occurs.</w:t>
      </w:r>
    </w:p>
  </w:footnote>
  <w:footnote w:id="14">
    <w:p w:rsidR="00AC366C" w:rsidRDefault="00AC366C" w:rsidP="00D8375F">
      <w:pPr>
        <w:pStyle w:val="NoSpacing"/>
      </w:pPr>
      <w:r>
        <w:rPr>
          <w:rStyle w:val="FootnoteReference"/>
        </w:rPr>
        <w:footnoteRef/>
      </w:r>
      <w:r>
        <w:t xml:space="preserve"> </w:t>
      </w:r>
      <w:r w:rsidRPr="00420F13">
        <w:t>Client presentation = one person accessing one service is one presentation; one person accessing two services is two client presentations etc.</w:t>
      </w:r>
    </w:p>
  </w:footnote>
  <w:footnote w:id="15">
    <w:p w:rsidR="00AC366C" w:rsidRDefault="00AC366C" w:rsidP="000E20CE">
      <w:pPr>
        <w:pStyle w:val="NoSpacing"/>
      </w:pPr>
      <w:r>
        <w:rPr>
          <w:rStyle w:val="FootnoteReference"/>
        </w:rPr>
        <w:footnoteRef/>
      </w:r>
      <w:r>
        <w:t xml:space="preserve"> </w:t>
      </w:r>
      <w:r w:rsidRPr="00EE106B">
        <w:t>Audiologist, early childhood educators, educator/ education consultants, school service officers, early intervention specialists, education and promotion staff, therapy assistants, volunteer peers</w:t>
      </w:r>
      <w:r>
        <w:t>.</w:t>
      </w:r>
    </w:p>
  </w:footnote>
  <w:footnote w:id="16">
    <w:p w:rsidR="00AC366C" w:rsidRDefault="00AC366C" w:rsidP="00265F30">
      <w:pPr>
        <w:pStyle w:val="NoSpacing"/>
      </w:pPr>
      <w:r>
        <w:rPr>
          <w:rStyle w:val="FootnoteReference"/>
        </w:rPr>
        <w:footnoteRef/>
      </w:r>
      <w:r>
        <w:t xml:space="preserve"> </w:t>
      </w:r>
      <w:r w:rsidRPr="000E20CE">
        <w:t>Based on the minimum wage of $18.35 per hour, Social &amp; Community Services Industry Award. www.fairwork.gov.au/Pay/Minimum-wages/ Calculation on Community Services Wor</w:t>
      </w:r>
      <w:r w:rsidR="00265F30">
        <w:t>ker Level 4 is $32.79 per hour.</w:t>
      </w:r>
    </w:p>
  </w:footnote>
  <w:footnote w:id="17">
    <w:p w:rsidR="00AC366C" w:rsidRDefault="00AC366C" w:rsidP="000E20CE">
      <w:pPr>
        <w:pStyle w:val="NoSpacing"/>
      </w:pPr>
      <w:r>
        <w:rPr>
          <w:rStyle w:val="FootnoteReference"/>
        </w:rPr>
        <w:footnoteRef/>
      </w:r>
      <w:r>
        <w:t xml:space="preserve"> </w:t>
      </w:r>
      <w:r w:rsidRPr="00EE106B">
        <w:t>Patient support, peer support, speech pathology, occupational therapy, early intervention support, toy library, and playgroups.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F095F"/>
    <w:multiLevelType w:val="hybridMultilevel"/>
    <w:tmpl w:val="6596AA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00E73970"/>
    <w:multiLevelType w:val="hybridMultilevel"/>
    <w:tmpl w:val="8F2C18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01CC2351"/>
    <w:multiLevelType w:val="hybridMultilevel"/>
    <w:tmpl w:val="252A36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023977FB"/>
    <w:multiLevelType w:val="hybridMultilevel"/>
    <w:tmpl w:val="32AEAC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05B77044"/>
    <w:multiLevelType w:val="hybridMultilevel"/>
    <w:tmpl w:val="508098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067A1C26"/>
    <w:multiLevelType w:val="hybridMultilevel"/>
    <w:tmpl w:val="4094F5C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nsid w:val="06FC335A"/>
    <w:multiLevelType w:val="hybridMultilevel"/>
    <w:tmpl w:val="794828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1D1027A3"/>
    <w:multiLevelType w:val="hybridMultilevel"/>
    <w:tmpl w:val="7F344C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nsid w:val="22B81E8E"/>
    <w:multiLevelType w:val="hybridMultilevel"/>
    <w:tmpl w:val="A4DAA8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259D4125"/>
    <w:multiLevelType w:val="hybridMultilevel"/>
    <w:tmpl w:val="E0E42A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2FAC03B6"/>
    <w:multiLevelType w:val="hybridMultilevel"/>
    <w:tmpl w:val="1B7A88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350961E1"/>
    <w:multiLevelType w:val="hybridMultilevel"/>
    <w:tmpl w:val="606A4D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41AB749D"/>
    <w:multiLevelType w:val="hybridMultilevel"/>
    <w:tmpl w:val="0D6C303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nsid w:val="422C42AD"/>
    <w:multiLevelType w:val="hybridMultilevel"/>
    <w:tmpl w:val="331ADE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457E2543"/>
    <w:multiLevelType w:val="hybridMultilevel"/>
    <w:tmpl w:val="573037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46E505D1"/>
    <w:multiLevelType w:val="hybridMultilevel"/>
    <w:tmpl w:val="8BBAED4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
    <w:nsid w:val="47721B20"/>
    <w:multiLevelType w:val="hybridMultilevel"/>
    <w:tmpl w:val="C174F25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nsid w:val="52512DB1"/>
    <w:multiLevelType w:val="hybridMultilevel"/>
    <w:tmpl w:val="516C2F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nsid w:val="54493894"/>
    <w:multiLevelType w:val="hybridMultilevel"/>
    <w:tmpl w:val="91D2C9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54C54B16"/>
    <w:multiLevelType w:val="hybridMultilevel"/>
    <w:tmpl w:val="A87ACDF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0">
    <w:nsid w:val="574F4722"/>
    <w:multiLevelType w:val="hybridMultilevel"/>
    <w:tmpl w:val="442494C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nsid w:val="597B1E0F"/>
    <w:multiLevelType w:val="hybridMultilevel"/>
    <w:tmpl w:val="BDBA02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nsid w:val="64224A27"/>
    <w:multiLevelType w:val="hybridMultilevel"/>
    <w:tmpl w:val="E7C860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661571BB"/>
    <w:multiLevelType w:val="hybridMultilevel"/>
    <w:tmpl w:val="B48033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nsid w:val="676C770C"/>
    <w:multiLevelType w:val="hybridMultilevel"/>
    <w:tmpl w:val="BF4A0C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nsid w:val="6C9846BC"/>
    <w:multiLevelType w:val="hybridMultilevel"/>
    <w:tmpl w:val="988A55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nsid w:val="72B67D86"/>
    <w:multiLevelType w:val="hybridMultilevel"/>
    <w:tmpl w:val="BDEA2B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nsid w:val="77A54E60"/>
    <w:multiLevelType w:val="hybridMultilevel"/>
    <w:tmpl w:val="FB220A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nsid w:val="78651348"/>
    <w:multiLevelType w:val="hybridMultilevel"/>
    <w:tmpl w:val="BC7C9B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nsid w:val="78CD1E15"/>
    <w:multiLevelType w:val="hybridMultilevel"/>
    <w:tmpl w:val="9D8210D2"/>
    <w:lvl w:ilvl="0" w:tplc="0C090001">
      <w:start w:val="1"/>
      <w:numFmt w:val="bullet"/>
      <w:lvlText w:val=""/>
      <w:lvlJc w:val="left"/>
      <w:pPr>
        <w:ind w:left="787" w:hanging="360"/>
      </w:pPr>
      <w:rPr>
        <w:rFonts w:ascii="Symbol" w:hAnsi="Symbol" w:hint="default"/>
      </w:rPr>
    </w:lvl>
    <w:lvl w:ilvl="1" w:tplc="0C090003" w:tentative="1">
      <w:start w:val="1"/>
      <w:numFmt w:val="bullet"/>
      <w:lvlText w:val="o"/>
      <w:lvlJc w:val="left"/>
      <w:pPr>
        <w:ind w:left="1507" w:hanging="360"/>
      </w:pPr>
      <w:rPr>
        <w:rFonts w:ascii="Courier New" w:hAnsi="Courier New" w:cs="Courier New" w:hint="default"/>
      </w:rPr>
    </w:lvl>
    <w:lvl w:ilvl="2" w:tplc="0C090005" w:tentative="1">
      <w:start w:val="1"/>
      <w:numFmt w:val="bullet"/>
      <w:lvlText w:val=""/>
      <w:lvlJc w:val="left"/>
      <w:pPr>
        <w:ind w:left="2227" w:hanging="360"/>
      </w:pPr>
      <w:rPr>
        <w:rFonts w:ascii="Wingdings" w:hAnsi="Wingdings" w:hint="default"/>
      </w:rPr>
    </w:lvl>
    <w:lvl w:ilvl="3" w:tplc="0C090001" w:tentative="1">
      <w:start w:val="1"/>
      <w:numFmt w:val="bullet"/>
      <w:lvlText w:val=""/>
      <w:lvlJc w:val="left"/>
      <w:pPr>
        <w:ind w:left="2947" w:hanging="360"/>
      </w:pPr>
      <w:rPr>
        <w:rFonts w:ascii="Symbol" w:hAnsi="Symbol" w:hint="default"/>
      </w:rPr>
    </w:lvl>
    <w:lvl w:ilvl="4" w:tplc="0C090003" w:tentative="1">
      <w:start w:val="1"/>
      <w:numFmt w:val="bullet"/>
      <w:lvlText w:val="o"/>
      <w:lvlJc w:val="left"/>
      <w:pPr>
        <w:ind w:left="3667" w:hanging="360"/>
      </w:pPr>
      <w:rPr>
        <w:rFonts w:ascii="Courier New" w:hAnsi="Courier New" w:cs="Courier New" w:hint="default"/>
      </w:rPr>
    </w:lvl>
    <w:lvl w:ilvl="5" w:tplc="0C090005" w:tentative="1">
      <w:start w:val="1"/>
      <w:numFmt w:val="bullet"/>
      <w:lvlText w:val=""/>
      <w:lvlJc w:val="left"/>
      <w:pPr>
        <w:ind w:left="4387" w:hanging="360"/>
      </w:pPr>
      <w:rPr>
        <w:rFonts w:ascii="Wingdings" w:hAnsi="Wingdings" w:hint="default"/>
      </w:rPr>
    </w:lvl>
    <w:lvl w:ilvl="6" w:tplc="0C090001" w:tentative="1">
      <w:start w:val="1"/>
      <w:numFmt w:val="bullet"/>
      <w:lvlText w:val=""/>
      <w:lvlJc w:val="left"/>
      <w:pPr>
        <w:ind w:left="5107" w:hanging="360"/>
      </w:pPr>
      <w:rPr>
        <w:rFonts w:ascii="Symbol" w:hAnsi="Symbol" w:hint="default"/>
      </w:rPr>
    </w:lvl>
    <w:lvl w:ilvl="7" w:tplc="0C090003" w:tentative="1">
      <w:start w:val="1"/>
      <w:numFmt w:val="bullet"/>
      <w:lvlText w:val="o"/>
      <w:lvlJc w:val="left"/>
      <w:pPr>
        <w:ind w:left="5827" w:hanging="360"/>
      </w:pPr>
      <w:rPr>
        <w:rFonts w:ascii="Courier New" w:hAnsi="Courier New" w:cs="Courier New" w:hint="default"/>
      </w:rPr>
    </w:lvl>
    <w:lvl w:ilvl="8" w:tplc="0C090005" w:tentative="1">
      <w:start w:val="1"/>
      <w:numFmt w:val="bullet"/>
      <w:lvlText w:val=""/>
      <w:lvlJc w:val="left"/>
      <w:pPr>
        <w:ind w:left="6547" w:hanging="360"/>
      </w:pPr>
      <w:rPr>
        <w:rFonts w:ascii="Wingdings" w:hAnsi="Wingdings" w:hint="default"/>
      </w:rPr>
    </w:lvl>
  </w:abstractNum>
  <w:abstractNum w:abstractNumId="30">
    <w:nsid w:val="7A1603BD"/>
    <w:multiLevelType w:val="hybridMultilevel"/>
    <w:tmpl w:val="2E32B1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nsid w:val="7BEA23A0"/>
    <w:multiLevelType w:val="hybridMultilevel"/>
    <w:tmpl w:val="C8B2D1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4"/>
  </w:num>
  <w:num w:numId="2">
    <w:abstractNumId w:val="17"/>
  </w:num>
  <w:num w:numId="3">
    <w:abstractNumId w:val="21"/>
  </w:num>
  <w:num w:numId="4">
    <w:abstractNumId w:val="0"/>
  </w:num>
  <w:num w:numId="5">
    <w:abstractNumId w:val="3"/>
  </w:num>
  <w:num w:numId="6">
    <w:abstractNumId w:val="1"/>
  </w:num>
  <w:num w:numId="7">
    <w:abstractNumId w:val="18"/>
  </w:num>
  <w:num w:numId="8">
    <w:abstractNumId w:val="15"/>
  </w:num>
  <w:num w:numId="9">
    <w:abstractNumId w:val="27"/>
  </w:num>
  <w:num w:numId="10">
    <w:abstractNumId w:val="29"/>
  </w:num>
  <w:num w:numId="11">
    <w:abstractNumId w:val="19"/>
  </w:num>
  <w:num w:numId="12">
    <w:abstractNumId w:val="22"/>
  </w:num>
  <w:num w:numId="13">
    <w:abstractNumId w:val="26"/>
  </w:num>
  <w:num w:numId="14">
    <w:abstractNumId w:val="13"/>
  </w:num>
  <w:num w:numId="15">
    <w:abstractNumId w:val="2"/>
  </w:num>
  <w:num w:numId="16">
    <w:abstractNumId w:val="10"/>
  </w:num>
  <w:num w:numId="17">
    <w:abstractNumId w:val="23"/>
  </w:num>
  <w:num w:numId="18">
    <w:abstractNumId w:val="4"/>
  </w:num>
  <w:num w:numId="19">
    <w:abstractNumId w:val="8"/>
  </w:num>
  <w:num w:numId="20">
    <w:abstractNumId w:val="30"/>
  </w:num>
  <w:num w:numId="21">
    <w:abstractNumId w:val="7"/>
  </w:num>
  <w:num w:numId="22">
    <w:abstractNumId w:val="11"/>
  </w:num>
  <w:num w:numId="23">
    <w:abstractNumId w:val="31"/>
  </w:num>
  <w:num w:numId="24">
    <w:abstractNumId w:val="14"/>
  </w:num>
  <w:num w:numId="25">
    <w:abstractNumId w:val="5"/>
  </w:num>
  <w:num w:numId="26">
    <w:abstractNumId w:val="16"/>
  </w:num>
  <w:num w:numId="27">
    <w:abstractNumId w:val="12"/>
  </w:num>
  <w:num w:numId="28">
    <w:abstractNumId w:val="20"/>
  </w:num>
  <w:num w:numId="29">
    <w:abstractNumId w:val="9"/>
  </w:num>
  <w:num w:numId="30">
    <w:abstractNumId w:val="25"/>
  </w:num>
  <w:num w:numId="31">
    <w:abstractNumId w:val="28"/>
  </w:num>
  <w:num w:numId="32">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hideSpellingErrors/>
  <w:hideGrammaticalError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519C"/>
    <w:rsid w:val="00000E4C"/>
    <w:rsid w:val="0000221C"/>
    <w:rsid w:val="00003360"/>
    <w:rsid w:val="00003FF4"/>
    <w:rsid w:val="00004EB9"/>
    <w:rsid w:val="00006794"/>
    <w:rsid w:val="00010877"/>
    <w:rsid w:val="00010E4C"/>
    <w:rsid w:val="000128C7"/>
    <w:rsid w:val="0001316A"/>
    <w:rsid w:val="000143C3"/>
    <w:rsid w:val="0001461E"/>
    <w:rsid w:val="00016688"/>
    <w:rsid w:val="00016A6F"/>
    <w:rsid w:val="00016BE7"/>
    <w:rsid w:val="0001746A"/>
    <w:rsid w:val="00021C16"/>
    <w:rsid w:val="0002332A"/>
    <w:rsid w:val="0002362D"/>
    <w:rsid w:val="00023FEF"/>
    <w:rsid w:val="000247FA"/>
    <w:rsid w:val="00025E5D"/>
    <w:rsid w:val="000262E3"/>
    <w:rsid w:val="000278D7"/>
    <w:rsid w:val="000279A6"/>
    <w:rsid w:val="00030F1A"/>
    <w:rsid w:val="000336C4"/>
    <w:rsid w:val="00034391"/>
    <w:rsid w:val="00034D67"/>
    <w:rsid w:val="00035139"/>
    <w:rsid w:val="00036A67"/>
    <w:rsid w:val="00042043"/>
    <w:rsid w:val="00043012"/>
    <w:rsid w:val="0004559A"/>
    <w:rsid w:val="00047957"/>
    <w:rsid w:val="00047F16"/>
    <w:rsid w:val="00047F9F"/>
    <w:rsid w:val="000506BD"/>
    <w:rsid w:val="00050F76"/>
    <w:rsid w:val="00051649"/>
    <w:rsid w:val="000525C1"/>
    <w:rsid w:val="000536E4"/>
    <w:rsid w:val="00054DAE"/>
    <w:rsid w:val="00055361"/>
    <w:rsid w:val="00056816"/>
    <w:rsid w:val="00057927"/>
    <w:rsid w:val="00057E4B"/>
    <w:rsid w:val="000603E1"/>
    <w:rsid w:val="00062F16"/>
    <w:rsid w:val="000659D9"/>
    <w:rsid w:val="00065C2A"/>
    <w:rsid w:val="0006623C"/>
    <w:rsid w:val="00066A28"/>
    <w:rsid w:val="00066EE2"/>
    <w:rsid w:val="00067D94"/>
    <w:rsid w:val="00073F30"/>
    <w:rsid w:val="000744D7"/>
    <w:rsid w:val="00074505"/>
    <w:rsid w:val="00076AD1"/>
    <w:rsid w:val="0008130F"/>
    <w:rsid w:val="00081463"/>
    <w:rsid w:val="00083513"/>
    <w:rsid w:val="00084779"/>
    <w:rsid w:val="0008562F"/>
    <w:rsid w:val="00087636"/>
    <w:rsid w:val="000878E7"/>
    <w:rsid w:val="00087D87"/>
    <w:rsid w:val="00087F80"/>
    <w:rsid w:val="00090048"/>
    <w:rsid w:val="00090834"/>
    <w:rsid w:val="00093197"/>
    <w:rsid w:val="000961BF"/>
    <w:rsid w:val="00096E04"/>
    <w:rsid w:val="00097448"/>
    <w:rsid w:val="00097C76"/>
    <w:rsid w:val="000A0DDD"/>
    <w:rsid w:val="000A1258"/>
    <w:rsid w:val="000A1820"/>
    <w:rsid w:val="000A2720"/>
    <w:rsid w:val="000A6A8D"/>
    <w:rsid w:val="000B0483"/>
    <w:rsid w:val="000B13BD"/>
    <w:rsid w:val="000B2FA2"/>
    <w:rsid w:val="000B3980"/>
    <w:rsid w:val="000B52B7"/>
    <w:rsid w:val="000B7767"/>
    <w:rsid w:val="000B7944"/>
    <w:rsid w:val="000C1CED"/>
    <w:rsid w:val="000C1E70"/>
    <w:rsid w:val="000C3190"/>
    <w:rsid w:val="000C3AE2"/>
    <w:rsid w:val="000C3B56"/>
    <w:rsid w:val="000C3BB8"/>
    <w:rsid w:val="000C4AF8"/>
    <w:rsid w:val="000C5F1B"/>
    <w:rsid w:val="000C6A82"/>
    <w:rsid w:val="000C7136"/>
    <w:rsid w:val="000C75F9"/>
    <w:rsid w:val="000C7683"/>
    <w:rsid w:val="000C7751"/>
    <w:rsid w:val="000D0AA3"/>
    <w:rsid w:val="000D0FA0"/>
    <w:rsid w:val="000D1578"/>
    <w:rsid w:val="000D3A26"/>
    <w:rsid w:val="000D4FD9"/>
    <w:rsid w:val="000D5D36"/>
    <w:rsid w:val="000E0620"/>
    <w:rsid w:val="000E20CE"/>
    <w:rsid w:val="000E35F1"/>
    <w:rsid w:val="000E3D30"/>
    <w:rsid w:val="000E4171"/>
    <w:rsid w:val="000E4405"/>
    <w:rsid w:val="000E5B12"/>
    <w:rsid w:val="000E6CAD"/>
    <w:rsid w:val="000E6D70"/>
    <w:rsid w:val="000F0476"/>
    <w:rsid w:val="000F0A22"/>
    <w:rsid w:val="000F18DB"/>
    <w:rsid w:val="000F2B37"/>
    <w:rsid w:val="000F2CAE"/>
    <w:rsid w:val="000F38BC"/>
    <w:rsid w:val="000F4805"/>
    <w:rsid w:val="000F5CFF"/>
    <w:rsid w:val="000F6842"/>
    <w:rsid w:val="000F73AD"/>
    <w:rsid w:val="000F7C58"/>
    <w:rsid w:val="00101084"/>
    <w:rsid w:val="00101741"/>
    <w:rsid w:val="00101BC3"/>
    <w:rsid w:val="00102990"/>
    <w:rsid w:val="00103E91"/>
    <w:rsid w:val="00104749"/>
    <w:rsid w:val="001049B9"/>
    <w:rsid w:val="0011023E"/>
    <w:rsid w:val="001137F0"/>
    <w:rsid w:val="00114D13"/>
    <w:rsid w:val="001154F9"/>
    <w:rsid w:val="00115789"/>
    <w:rsid w:val="001200C8"/>
    <w:rsid w:val="001234AF"/>
    <w:rsid w:val="001246D2"/>
    <w:rsid w:val="001257F8"/>
    <w:rsid w:val="00125DD0"/>
    <w:rsid w:val="00127305"/>
    <w:rsid w:val="00127443"/>
    <w:rsid w:val="00127614"/>
    <w:rsid w:val="00127D15"/>
    <w:rsid w:val="00130A10"/>
    <w:rsid w:val="001315ED"/>
    <w:rsid w:val="0013179F"/>
    <w:rsid w:val="00133404"/>
    <w:rsid w:val="0013396B"/>
    <w:rsid w:val="001340B6"/>
    <w:rsid w:val="00134133"/>
    <w:rsid w:val="00134A44"/>
    <w:rsid w:val="001353AD"/>
    <w:rsid w:val="00136060"/>
    <w:rsid w:val="0013613B"/>
    <w:rsid w:val="00143B6F"/>
    <w:rsid w:val="001443E3"/>
    <w:rsid w:val="0014464F"/>
    <w:rsid w:val="001473A3"/>
    <w:rsid w:val="001476F8"/>
    <w:rsid w:val="001552FB"/>
    <w:rsid w:val="00156FA7"/>
    <w:rsid w:val="0015707A"/>
    <w:rsid w:val="00157CC5"/>
    <w:rsid w:val="00157EE1"/>
    <w:rsid w:val="001613A8"/>
    <w:rsid w:val="00161E6E"/>
    <w:rsid w:val="00162C93"/>
    <w:rsid w:val="0016307A"/>
    <w:rsid w:val="00163463"/>
    <w:rsid w:val="00164173"/>
    <w:rsid w:val="00164C58"/>
    <w:rsid w:val="00164E78"/>
    <w:rsid w:val="00165257"/>
    <w:rsid w:val="00165DD9"/>
    <w:rsid w:val="00167243"/>
    <w:rsid w:val="0017448A"/>
    <w:rsid w:val="00180B6E"/>
    <w:rsid w:val="00181F26"/>
    <w:rsid w:val="00182D3E"/>
    <w:rsid w:val="00182E71"/>
    <w:rsid w:val="001835E4"/>
    <w:rsid w:val="0018440C"/>
    <w:rsid w:val="00184D27"/>
    <w:rsid w:val="00185792"/>
    <w:rsid w:val="00190ACE"/>
    <w:rsid w:val="0019108F"/>
    <w:rsid w:val="00191271"/>
    <w:rsid w:val="001916C7"/>
    <w:rsid w:val="001919E9"/>
    <w:rsid w:val="00191B4A"/>
    <w:rsid w:val="00192A6F"/>
    <w:rsid w:val="0019338D"/>
    <w:rsid w:val="00193D65"/>
    <w:rsid w:val="00197099"/>
    <w:rsid w:val="001A1ECE"/>
    <w:rsid w:val="001A3CE8"/>
    <w:rsid w:val="001A4476"/>
    <w:rsid w:val="001A4927"/>
    <w:rsid w:val="001A4B6B"/>
    <w:rsid w:val="001A7507"/>
    <w:rsid w:val="001A785D"/>
    <w:rsid w:val="001B0278"/>
    <w:rsid w:val="001B1946"/>
    <w:rsid w:val="001B19FF"/>
    <w:rsid w:val="001B221E"/>
    <w:rsid w:val="001B27E4"/>
    <w:rsid w:val="001B2C7A"/>
    <w:rsid w:val="001B2E16"/>
    <w:rsid w:val="001B3B9B"/>
    <w:rsid w:val="001B5FE2"/>
    <w:rsid w:val="001B6940"/>
    <w:rsid w:val="001B706C"/>
    <w:rsid w:val="001B7755"/>
    <w:rsid w:val="001B7EFC"/>
    <w:rsid w:val="001C0979"/>
    <w:rsid w:val="001C1957"/>
    <w:rsid w:val="001C1EC2"/>
    <w:rsid w:val="001C3190"/>
    <w:rsid w:val="001C5CDE"/>
    <w:rsid w:val="001C6997"/>
    <w:rsid w:val="001D1A89"/>
    <w:rsid w:val="001D1DBE"/>
    <w:rsid w:val="001D2DA4"/>
    <w:rsid w:val="001D3D5D"/>
    <w:rsid w:val="001D6268"/>
    <w:rsid w:val="001D7DE1"/>
    <w:rsid w:val="001E31DB"/>
    <w:rsid w:val="001E3C55"/>
    <w:rsid w:val="001E5B28"/>
    <w:rsid w:val="001E6100"/>
    <w:rsid w:val="001E665F"/>
    <w:rsid w:val="001F1753"/>
    <w:rsid w:val="001F2461"/>
    <w:rsid w:val="001F2B99"/>
    <w:rsid w:val="001F362F"/>
    <w:rsid w:val="001F3D58"/>
    <w:rsid w:val="001F570C"/>
    <w:rsid w:val="001F731D"/>
    <w:rsid w:val="001F7567"/>
    <w:rsid w:val="001F7641"/>
    <w:rsid w:val="00200E34"/>
    <w:rsid w:val="00201902"/>
    <w:rsid w:val="00205AE4"/>
    <w:rsid w:val="00205DCA"/>
    <w:rsid w:val="00206108"/>
    <w:rsid w:val="0020652B"/>
    <w:rsid w:val="00210401"/>
    <w:rsid w:val="00211662"/>
    <w:rsid w:val="002122CA"/>
    <w:rsid w:val="00212D0E"/>
    <w:rsid w:val="00213456"/>
    <w:rsid w:val="00213893"/>
    <w:rsid w:val="002149A3"/>
    <w:rsid w:val="00215D95"/>
    <w:rsid w:val="00215EC1"/>
    <w:rsid w:val="00216438"/>
    <w:rsid w:val="0021644E"/>
    <w:rsid w:val="00216969"/>
    <w:rsid w:val="00216FC3"/>
    <w:rsid w:val="00220865"/>
    <w:rsid w:val="002208EE"/>
    <w:rsid w:val="00220CC2"/>
    <w:rsid w:val="00224B1D"/>
    <w:rsid w:val="00225F14"/>
    <w:rsid w:val="002263AC"/>
    <w:rsid w:val="00226D28"/>
    <w:rsid w:val="002271FB"/>
    <w:rsid w:val="00230950"/>
    <w:rsid w:val="00230DE2"/>
    <w:rsid w:val="0023156B"/>
    <w:rsid w:val="00232F42"/>
    <w:rsid w:val="00233078"/>
    <w:rsid w:val="00235A8D"/>
    <w:rsid w:val="00237E69"/>
    <w:rsid w:val="00241748"/>
    <w:rsid w:val="00244790"/>
    <w:rsid w:val="00245702"/>
    <w:rsid w:val="0024595F"/>
    <w:rsid w:val="00245F0A"/>
    <w:rsid w:val="00247A98"/>
    <w:rsid w:val="002504CA"/>
    <w:rsid w:val="0025051A"/>
    <w:rsid w:val="00250BEC"/>
    <w:rsid w:val="00250EBB"/>
    <w:rsid w:val="002512DE"/>
    <w:rsid w:val="00253A25"/>
    <w:rsid w:val="00254DFE"/>
    <w:rsid w:val="0025590A"/>
    <w:rsid w:val="00256637"/>
    <w:rsid w:val="00257465"/>
    <w:rsid w:val="002614B9"/>
    <w:rsid w:val="0026368E"/>
    <w:rsid w:val="0026414F"/>
    <w:rsid w:val="00264D56"/>
    <w:rsid w:val="002652E2"/>
    <w:rsid w:val="00265F30"/>
    <w:rsid w:val="00265FEE"/>
    <w:rsid w:val="00267194"/>
    <w:rsid w:val="00267A14"/>
    <w:rsid w:val="00272D29"/>
    <w:rsid w:val="0027367D"/>
    <w:rsid w:val="002738E1"/>
    <w:rsid w:val="002740FA"/>
    <w:rsid w:val="0027459D"/>
    <w:rsid w:val="0027499B"/>
    <w:rsid w:val="00276235"/>
    <w:rsid w:val="00276254"/>
    <w:rsid w:val="00276BEB"/>
    <w:rsid w:val="00276C93"/>
    <w:rsid w:val="00277312"/>
    <w:rsid w:val="00277A36"/>
    <w:rsid w:val="00280B46"/>
    <w:rsid w:val="00282169"/>
    <w:rsid w:val="00284D76"/>
    <w:rsid w:val="00286980"/>
    <w:rsid w:val="00286FC7"/>
    <w:rsid w:val="00287A83"/>
    <w:rsid w:val="00287A98"/>
    <w:rsid w:val="0029176F"/>
    <w:rsid w:val="00294E26"/>
    <w:rsid w:val="0029577A"/>
    <w:rsid w:val="002961D4"/>
    <w:rsid w:val="00296B13"/>
    <w:rsid w:val="002974CD"/>
    <w:rsid w:val="002A0218"/>
    <w:rsid w:val="002A0E10"/>
    <w:rsid w:val="002A1788"/>
    <w:rsid w:val="002A4BEF"/>
    <w:rsid w:val="002A58E9"/>
    <w:rsid w:val="002B02DF"/>
    <w:rsid w:val="002B18E1"/>
    <w:rsid w:val="002B1B82"/>
    <w:rsid w:val="002B2F8A"/>
    <w:rsid w:val="002B33E1"/>
    <w:rsid w:val="002B4642"/>
    <w:rsid w:val="002C08A9"/>
    <w:rsid w:val="002C30B3"/>
    <w:rsid w:val="002C38CB"/>
    <w:rsid w:val="002C4B44"/>
    <w:rsid w:val="002C4BFD"/>
    <w:rsid w:val="002C52CF"/>
    <w:rsid w:val="002C79F3"/>
    <w:rsid w:val="002C7E5C"/>
    <w:rsid w:val="002D0788"/>
    <w:rsid w:val="002D0D62"/>
    <w:rsid w:val="002D2EEE"/>
    <w:rsid w:val="002D4C29"/>
    <w:rsid w:val="002E1AA9"/>
    <w:rsid w:val="002E1CE0"/>
    <w:rsid w:val="002E2EEF"/>
    <w:rsid w:val="002E5388"/>
    <w:rsid w:val="002E5CA9"/>
    <w:rsid w:val="002E698B"/>
    <w:rsid w:val="002E6B87"/>
    <w:rsid w:val="002F0AB5"/>
    <w:rsid w:val="002F1E89"/>
    <w:rsid w:val="002F32FC"/>
    <w:rsid w:val="002F37D2"/>
    <w:rsid w:val="002F699B"/>
    <w:rsid w:val="002F6AE3"/>
    <w:rsid w:val="002F6B50"/>
    <w:rsid w:val="002F70A7"/>
    <w:rsid w:val="002F7465"/>
    <w:rsid w:val="00300C1E"/>
    <w:rsid w:val="00301E85"/>
    <w:rsid w:val="003022EB"/>
    <w:rsid w:val="00302B21"/>
    <w:rsid w:val="00303219"/>
    <w:rsid w:val="003049D4"/>
    <w:rsid w:val="00305ABC"/>
    <w:rsid w:val="00305F1F"/>
    <w:rsid w:val="00305FF1"/>
    <w:rsid w:val="00306590"/>
    <w:rsid w:val="0030685B"/>
    <w:rsid w:val="00310A03"/>
    <w:rsid w:val="00311045"/>
    <w:rsid w:val="00312557"/>
    <w:rsid w:val="00313C16"/>
    <w:rsid w:val="00314C4D"/>
    <w:rsid w:val="00314DD6"/>
    <w:rsid w:val="00315279"/>
    <w:rsid w:val="003155CE"/>
    <w:rsid w:val="003156E3"/>
    <w:rsid w:val="003161C4"/>
    <w:rsid w:val="00317A8B"/>
    <w:rsid w:val="00320E88"/>
    <w:rsid w:val="003214C4"/>
    <w:rsid w:val="00321E04"/>
    <w:rsid w:val="00323C1C"/>
    <w:rsid w:val="00323E7F"/>
    <w:rsid w:val="00323F6E"/>
    <w:rsid w:val="003269D5"/>
    <w:rsid w:val="00327D8C"/>
    <w:rsid w:val="00332BE7"/>
    <w:rsid w:val="0033380E"/>
    <w:rsid w:val="00334513"/>
    <w:rsid w:val="00336539"/>
    <w:rsid w:val="00340642"/>
    <w:rsid w:val="00340E26"/>
    <w:rsid w:val="0034142F"/>
    <w:rsid w:val="00343740"/>
    <w:rsid w:val="003437AF"/>
    <w:rsid w:val="00344491"/>
    <w:rsid w:val="0034484D"/>
    <w:rsid w:val="003458D9"/>
    <w:rsid w:val="00346263"/>
    <w:rsid w:val="003474B8"/>
    <w:rsid w:val="00350E6B"/>
    <w:rsid w:val="0035119B"/>
    <w:rsid w:val="00353E52"/>
    <w:rsid w:val="003577DA"/>
    <w:rsid w:val="00357DE5"/>
    <w:rsid w:val="00361D44"/>
    <w:rsid w:val="00364206"/>
    <w:rsid w:val="00365068"/>
    <w:rsid w:val="00365F0A"/>
    <w:rsid w:val="00366472"/>
    <w:rsid w:val="00367ABA"/>
    <w:rsid w:val="00370315"/>
    <w:rsid w:val="00370864"/>
    <w:rsid w:val="00373E05"/>
    <w:rsid w:val="003743A0"/>
    <w:rsid w:val="00374DAC"/>
    <w:rsid w:val="00381E21"/>
    <w:rsid w:val="00383021"/>
    <w:rsid w:val="0038463E"/>
    <w:rsid w:val="00384691"/>
    <w:rsid w:val="003847FA"/>
    <w:rsid w:val="00386A11"/>
    <w:rsid w:val="0039089E"/>
    <w:rsid w:val="0039122C"/>
    <w:rsid w:val="00391E1B"/>
    <w:rsid w:val="003961BD"/>
    <w:rsid w:val="003961D1"/>
    <w:rsid w:val="00396CD4"/>
    <w:rsid w:val="003A0245"/>
    <w:rsid w:val="003A144C"/>
    <w:rsid w:val="003A1641"/>
    <w:rsid w:val="003A1D23"/>
    <w:rsid w:val="003A2BE4"/>
    <w:rsid w:val="003A3B2D"/>
    <w:rsid w:val="003A41B9"/>
    <w:rsid w:val="003A4EEE"/>
    <w:rsid w:val="003A5C7F"/>
    <w:rsid w:val="003A63EC"/>
    <w:rsid w:val="003A68B2"/>
    <w:rsid w:val="003A6AEB"/>
    <w:rsid w:val="003A722C"/>
    <w:rsid w:val="003A7397"/>
    <w:rsid w:val="003A792F"/>
    <w:rsid w:val="003B16B8"/>
    <w:rsid w:val="003B4163"/>
    <w:rsid w:val="003B4745"/>
    <w:rsid w:val="003B48D9"/>
    <w:rsid w:val="003B52D8"/>
    <w:rsid w:val="003B5763"/>
    <w:rsid w:val="003B695F"/>
    <w:rsid w:val="003B6D23"/>
    <w:rsid w:val="003B7127"/>
    <w:rsid w:val="003B7464"/>
    <w:rsid w:val="003C007A"/>
    <w:rsid w:val="003C0205"/>
    <w:rsid w:val="003C094F"/>
    <w:rsid w:val="003C0D0D"/>
    <w:rsid w:val="003C0ECB"/>
    <w:rsid w:val="003C19E9"/>
    <w:rsid w:val="003C21AB"/>
    <w:rsid w:val="003C335D"/>
    <w:rsid w:val="003C3EAE"/>
    <w:rsid w:val="003C45B4"/>
    <w:rsid w:val="003C4949"/>
    <w:rsid w:val="003C53FC"/>
    <w:rsid w:val="003C5AFF"/>
    <w:rsid w:val="003D4BB0"/>
    <w:rsid w:val="003D5B1E"/>
    <w:rsid w:val="003D6373"/>
    <w:rsid w:val="003E046E"/>
    <w:rsid w:val="003E08FD"/>
    <w:rsid w:val="003E0DB7"/>
    <w:rsid w:val="003E235D"/>
    <w:rsid w:val="003E3B0F"/>
    <w:rsid w:val="003E511F"/>
    <w:rsid w:val="003E5436"/>
    <w:rsid w:val="003E5ACC"/>
    <w:rsid w:val="003E5C67"/>
    <w:rsid w:val="003E7646"/>
    <w:rsid w:val="003F1E16"/>
    <w:rsid w:val="003F456E"/>
    <w:rsid w:val="003F519C"/>
    <w:rsid w:val="003F7320"/>
    <w:rsid w:val="00400690"/>
    <w:rsid w:val="0040276D"/>
    <w:rsid w:val="0040295D"/>
    <w:rsid w:val="00402DCC"/>
    <w:rsid w:val="00403F31"/>
    <w:rsid w:val="00404390"/>
    <w:rsid w:val="00404F5C"/>
    <w:rsid w:val="004131C5"/>
    <w:rsid w:val="004202E5"/>
    <w:rsid w:val="00420A07"/>
    <w:rsid w:val="00420B10"/>
    <w:rsid w:val="00421384"/>
    <w:rsid w:val="004223A6"/>
    <w:rsid w:val="004238BD"/>
    <w:rsid w:val="00424AD6"/>
    <w:rsid w:val="00427B67"/>
    <w:rsid w:val="00431A71"/>
    <w:rsid w:val="00431E07"/>
    <w:rsid w:val="0043224B"/>
    <w:rsid w:val="00432308"/>
    <w:rsid w:val="004325D5"/>
    <w:rsid w:val="0043270F"/>
    <w:rsid w:val="00432CB5"/>
    <w:rsid w:val="00433CB4"/>
    <w:rsid w:val="004348C8"/>
    <w:rsid w:val="00435C46"/>
    <w:rsid w:val="00436C16"/>
    <w:rsid w:val="00437C4C"/>
    <w:rsid w:val="00440A17"/>
    <w:rsid w:val="00440F9D"/>
    <w:rsid w:val="00441672"/>
    <w:rsid w:val="00442053"/>
    <w:rsid w:val="004426C5"/>
    <w:rsid w:val="00444644"/>
    <w:rsid w:val="0044511B"/>
    <w:rsid w:val="00446BD7"/>
    <w:rsid w:val="004477F3"/>
    <w:rsid w:val="00447AB8"/>
    <w:rsid w:val="0045176C"/>
    <w:rsid w:val="00452B2A"/>
    <w:rsid w:val="00452FA4"/>
    <w:rsid w:val="00454804"/>
    <w:rsid w:val="004553E7"/>
    <w:rsid w:val="00455F70"/>
    <w:rsid w:val="00455FEA"/>
    <w:rsid w:val="004563D2"/>
    <w:rsid w:val="00456536"/>
    <w:rsid w:val="00460488"/>
    <w:rsid w:val="004612EE"/>
    <w:rsid w:val="004621C4"/>
    <w:rsid w:val="00462C93"/>
    <w:rsid w:val="004649D4"/>
    <w:rsid w:val="004660BC"/>
    <w:rsid w:val="004668C3"/>
    <w:rsid w:val="00467B7B"/>
    <w:rsid w:val="00470058"/>
    <w:rsid w:val="00470980"/>
    <w:rsid w:val="00470BB4"/>
    <w:rsid w:val="0047199A"/>
    <w:rsid w:val="004723CB"/>
    <w:rsid w:val="00472B00"/>
    <w:rsid w:val="0047504C"/>
    <w:rsid w:val="00475A63"/>
    <w:rsid w:val="004801AB"/>
    <w:rsid w:val="00480DCA"/>
    <w:rsid w:val="0048151B"/>
    <w:rsid w:val="0048227F"/>
    <w:rsid w:val="004837EA"/>
    <w:rsid w:val="004845EF"/>
    <w:rsid w:val="00484C18"/>
    <w:rsid w:val="00490264"/>
    <w:rsid w:val="00490ABA"/>
    <w:rsid w:val="004925B6"/>
    <w:rsid w:val="00493116"/>
    <w:rsid w:val="00494590"/>
    <w:rsid w:val="004950DF"/>
    <w:rsid w:val="00495AFF"/>
    <w:rsid w:val="00495E79"/>
    <w:rsid w:val="00496F85"/>
    <w:rsid w:val="004A0980"/>
    <w:rsid w:val="004A1A05"/>
    <w:rsid w:val="004A2A4F"/>
    <w:rsid w:val="004A3AE1"/>
    <w:rsid w:val="004A4757"/>
    <w:rsid w:val="004A6EBC"/>
    <w:rsid w:val="004A72E2"/>
    <w:rsid w:val="004B0C83"/>
    <w:rsid w:val="004B0FD8"/>
    <w:rsid w:val="004B21D9"/>
    <w:rsid w:val="004B228D"/>
    <w:rsid w:val="004B38CA"/>
    <w:rsid w:val="004B42EF"/>
    <w:rsid w:val="004B5B31"/>
    <w:rsid w:val="004B7F23"/>
    <w:rsid w:val="004C1D5F"/>
    <w:rsid w:val="004C1F45"/>
    <w:rsid w:val="004C2461"/>
    <w:rsid w:val="004C24A6"/>
    <w:rsid w:val="004C28F9"/>
    <w:rsid w:val="004C3CA5"/>
    <w:rsid w:val="004C40F6"/>
    <w:rsid w:val="004C4367"/>
    <w:rsid w:val="004C631E"/>
    <w:rsid w:val="004C6849"/>
    <w:rsid w:val="004C734F"/>
    <w:rsid w:val="004C7EAD"/>
    <w:rsid w:val="004D0C4D"/>
    <w:rsid w:val="004D2146"/>
    <w:rsid w:val="004D2164"/>
    <w:rsid w:val="004D24AB"/>
    <w:rsid w:val="004D2E56"/>
    <w:rsid w:val="004D2ECF"/>
    <w:rsid w:val="004D3305"/>
    <w:rsid w:val="004D3513"/>
    <w:rsid w:val="004D42F4"/>
    <w:rsid w:val="004D4ED9"/>
    <w:rsid w:val="004D5843"/>
    <w:rsid w:val="004D5B56"/>
    <w:rsid w:val="004D653F"/>
    <w:rsid w:val="004D7ECC"/>
    <w:rsid w:val="004E26E6"/>
    <w:rsid w:val="004E37C5"/>
    <w:rsid w:val="004E5383"/>
    <w:rsid w:val="004E5C71"/>
    <w:rsid w:val="004E5E23"/>
    <w:rsid w:val="004E5F0B"/>
    <w:rsid w:val="004F2A51"/>
    <w:rsid w:val="004F3B34"/>
    <w:rsid w:val="004F4F83"/>
    <w:rsid w:val="00500071"/>
    <w:rsid w:val="00500A45"/>
    <w:rsid w:val="00502DE9"/>
    <w:rsid w:val="0050548B"/>
    <w:rsid w:val="0051070B"/>
    <w:rsid w:val="00511FBC"/>
    <w:rsid w:val="005131C3"/>
    <w:rsid w:val="00516699"/>
    <w:rsid w:val="00516F8F"/>
    <w:rsid w:val="00517015"/>
    <w:rsid w:val="00517164"/>
    <w:rsid w:val="005217BF"/>
    <w:rsid w:val="00522160"/>
    <w:rsid w:val="0052459E"/>
    <w:rsid w:val="0052570F"/>
    <w:rsid w:val="005263C3"/>
    <w:rsid w:val="00530674"/>
    <w:rsid w:val="005307C9"/>
    <w:rsid w:val="00531961"/>
    <w:rsid w:val="00531ACB"/>
    <w:rsid w:val="0053318B"/>
    <w:rsid w:val="00534877"/>
    <w:rsid w:val="0053653C"/>
    <w:rsid w:val="00536914"/>
    <w:rsid w:val="005369C6"/>
    <w:rsid w:val="00537F29"/>
    <w:rsid w:val="00540EA3"/>
    <w:rsid w:val="00541B69"/>
    <w:rsid w:val="00541BBE"/>
    <w:rsid w:val="00545835"/>
    <w:rsid w:val="005474CC"/>
    <w:rsid w:val="005475B6"/>
    <w:rsid w:val="00550455"/>
    <w:rsid w:val="005525C6"/>
    <w:rsid w:val="00552CF7"/>
    <w:rsid w:val="00552F50"/>
    <w:rsid w:val="00553812"/>
    <w:rsid w:val="00553F84"/>
    <w:rsid w:val="005561DE"/>
    <w:rsid w:val="00557865"/>
    <w:rsid w:val="00560F00"/>
    <w:rsid w:val="0056176E"/>
    <w:rsid w:val="0056245D"/>
    <w:rsid w:val="0056294B"/>
    <w:rsid w:val="00562D34"/>
    <w:rsid w:val="00564397"/>
    <w:rsid w:val="00564D2B"/>
    <w:rsid w:val="00565E56"/>
    <w:rsid w:val="00566B5C"/>
    <w:rsid w:val="0056742A"/>
    <w:rsid w:val="00567CC4"/>
    <w:rsid w:val="005705FD"/>
    <w:rsid w:val="00572720"/>
    <w:rsid w:val="00572958"/>
    <w:rsid w:val="00572BE0"/>
    <w:rsid w:val="005734CD"/>
    <w:rsid w:val="00573E17"/>
    <w:rsid w:val="00574672"/>
    <w:rsid w:val="00577342"/>
    <w:rsid w:val="0057735F"/>
    <w:rsid w:val="00577B54"/>
    <w:rsid w:val="00577DD8"/>
    <w:rsid w:val="00580792"/>
    <w:rsid w:val="00581783"/>
    <w:rsid w:val="0058187F"/>
    <w:rsid w:val="00581C62"/>
    <w:rsid w:val="00582072"/>
    <w:rsid w:val="00583454"/>
    <w:rsid w:val="00583B5B"/>
    <w:rsid w:val="00584913"/>
    <w:rsid w:val="00584A8D"/>
    <w:rsid w:val="00585140"/>
    <w:rsid w:val="00585B6A"/>
    <w:rsid w:val="00586F64"/>
    <w:rsid w:val="00587283"/>
    <w:rsid w:val="0059226D"/>
    <w:rsid w:val="00592C28"/>
    <w:rsid w:val="00593453"/>
    <w:rsid w:val="00593A4B"/>
    <w:rsid w:val="00594CD0"/>
    <w:rsid w:val="0059503A"/>
    <w:rsid w:val="005963B8"/>
    <w:rsid w:val="0059692D"/>
    <w:rsid w:val="00596A30"/>
    <w:rsid w:val="005973C7"/>
    <w:rsid w:val="005A0867"/>
    <w:rsid w:val="005A43FE"/>
    <w:rsid w:val="005A4607"/>
    <w:rsid w:val="005B02C8"/>
    <w:rsid w:val="005B0306"/>
    <w:rsid w:val="005B13DF"/>
    <w:rsid w:val="005B2094"/>
    <w:rsid w:val="005B3278"/>
    <w:rsid w:val="005B4857"/>
    <w:rsid w:val="005B4E3A"/>
    <w:rsid w:val="005B5EA7"/>
    <w:rsid w:val="005B6759"/>
    <w:rsid w:val="005B7566"/>
    <w:rsid w:val="005B772B"/>
    <w:rsid w:val="005C2669"/>
    <w:rsid w:val="005C3DC2"/>
    <w:rsid w:val="005C491D"/>
    <w:rsid w:val="005C51B7"/>
    <w:rsid w:val="005C6D4A"/>
    <w:rsid w:val="005D038A"/>
    <w:rsid w:val="005D5F7F"/>
    <w:rsid w:val="005D610A"/>
    <w:rsid w:val="005D7518"/>
    <w:rsid w:val="005E0431"/>
    <w:rsid w:val="005E0764"/>
    <w:rsid w:val="005E155C"/>
    <w:rsid w:val="005E179D"/>
    <w:rsid w:val="005E35DD"/>
    <w:rsid w:val="005E4738"/>
    <w:rsid w:val="005E4C09"/>
    <w:rsid w:val="005E4C85"/>
    <w:rsid w:val="005E7162"/>
    <w:rsid w:val="005E75ED"/>
    <w:rsid w:val="005F0FA3"/>
    <w:rsid w:val="005F2BF8"/>
    <w:rsid w:val="005F3EDF"/>
    <w:rsid w:val="005F74CF"/>
    <w:rsid w:val="005F7CB1"/>
    <w:rsid w:val="0060027E"/>
    <w:rsid w:val="00601C3B"/>
    <w:rsid w:val="0060343E"/>
    <w:rsid w:val="00603A7D"/>
    <w:rsid w:val="00603C24"/>
    <w:rsid w:val="006044B7"/>
    <w:rsid w:val="006052DB"/>
    <w:rsid w:val="0060627C"/>
    <w:rsid w:val="00607119"/>
    <w:rsid w:val="00610833"/>
    <w:rsid w:val="0061155C"/>
    <w:rsid w:val="00611926"/>
    <w:rsid w:val="006119B1"/>
    <w:rsid w:val="00612F4B"/>
    <w:rsid w:val="00614489"/>
    <w:rsid w:val="0061587B"/>
    <w:rsid w:val="006177BD"/>
    <w:rsid w:val="006230C4"/>
    <w:rsid w:val="0062383A"/>
    <w:rsid w:val="00623A54"/>
    <w:rsid w:val="00623E49"/>
    <w:rsid w:val="00623EE0"/>
    <w:rsid w:val="00624774"/>
    <w:rsid w:val="00624CEC"/>
    <w:rsid w:val="00624D85"/>
    <w:rsid w:val="00625172"/>
    <w:rsid w:val="00625D1A"/>
    <w:rsid w:val="00630157"/>
    <w:rsid w:val="00630A15"/>
    <w:rsid w:val="006315E8"/>
    <w:rsid w:val="006316E8"/>
    <w:rsid w:val="0063381D"/>
    <w:rsid w:val="006342A1"/>
    <w:rsid w:val="0063456C"/>
    <w:rsid w:val="00635DE6"/>
    <w:rsid w:val="00635F2E"/>
    <w:rsid w:val="00635FBB"/>
    <w:rsid w:val="0064200A"/>
    <w:rsid w:val="006425C7"/>
    <w:rsid w:val="006461FE"/>
    <w:rsid w:val="006469EF"/>
    <w:rsid w:val="00646E96"/>
    <w:rsid w:val="00647923"/>
    <w:rsid w:val="00647EBA"/>
    <w:rsid w:val="0065021F"/>
    <w:rsid w:val="00650391"/>
    <w:rsid w:val="006529D1"/>
    <w:rsid w:val="006543D8"/>
    <w:rsid w:val="00654688"/>
    <w:rsid w:val="00655154"/>
    <w:rsid w:val="0065546B"/>
    <w:rsid w:val="006568FB"/>
    <w:rsid w:val="00656B5F"/>
    <w:rsid w:val="00657455"/>
    <w:rsid w:val="00660FB2"/>
    <w:rsid w:val="0066201B"/>
    <w:rsid w:val="0066220C"/>
    <w:rsid w:val="0066294D"/>
    <w:rsid w:val="006629AD"/>
    <w:rsid w:val="00663552"/>
    <w:rsid w:val="006646B2"/>
    <w:rsid w:val="00664DAB"/>
    <w:rsid w:val="0066577E"/>
    <w:rsid w:val="006657D2"/>
    <w:rsid w:val="00665EAE"/>
    <w:rsid w:val="0066618E"/>
    <w:rsid w:val="006665F1"/>
    <w:rsid w:val="00666A16"/>
    <w:rsid w:val="00666F09"/>
    <w:rsid w:val="00671271"/>
    <w:rsid w:val="00671BDE"/>
    <w:rsid w:val="006727C2"/>
    <w:rsid w:val="006736D7"/>
    <w:rsid w:val="0067395A"/>
    <w:rsid w:val="00673AE4"/>
    <w:rsid w:val="00676350"/>
    <w:rsid w:val="006768FD"/>
    <w:rsid w:val="00676BFC"/>
    <w:rsid w:val="00677AC0"/>
    <w:rsid w:val="00677B1A"/>
    <w:rsid w:val="00677FE3"/>
    <w:rsid w:val="00680C47"/>
    <w:rsid w:val="00681490"/>
    <w:rsid w:val="006816C9"/>
    <w:rsid w:val="00682EED"/>
    <w:rsid w:val="00683744"/>
    <w:rsid w:val="00683D50"/>
    <w:rsid w:val="006842D1"/>
    <w:rsid w:val="00684F21"/>
    <w:rsid w:val="006855CB"/>
    <w:rsid w:val="0068578E"/>
    <w:rsid w:val="00686B22"/>
    <w:rsid w:val="00687191"/>
    <w:rsid w:val="006909FC"/>
    <w:rsid w:val="00693F1E"/>
    <w:rsid w:val="00695CB7"/>
    <w:rsid w:val="00696709"/>
    <w:rsid w:val="00696745"/>
    <w:rsid w:val="00696938"/>
    <w:rsid w:val="006978DF"/>
    <w:rsid w:val="006A00D0"/>
    <w:rsid w:val="006A0649"/>
    <w:rsid w:val="006A1970"/>
    <w:rsid w:val="006A1D79"/>
    <w:rsid w:val="006A2BD0"/>
    <w:rsid w:val="006A42F4"/>
    <w:rsid w:val="006A51BC"/>
    <w:rsid w:val="006A5FD3"/>
    <w:rsid w:val="006A62E2"/>
    <w:rsid w:val="006B12D8"/>
    <w:rsid w:val="006B2C2B"/>
    <w:rsid w:val="006B346E"/>
    <w:rsid w:val="006B4F19"/>
    <w:rsid w:val="006B534D"/>
    <w:rsid w:val="006B6A06"/>
    <w:rsid w:val="006B6CE6"/>
    <w:rsid w:val="006B7FAA"/>
    <w:rsid w:val="006C0959"/>
    <w:rsid w:val="006C1785"/>
    <w:rsid w:val="006C2EEF"/>
    <w:rsid w:val="006C54A7"/>
    <w:rsid w:val="006C57CE"/>
    <w:rsid w:val="006C7A77"/>
    <w:rsid w:val="006D0230"/>
    <w:rsid w:val="006D12E2"/>
    <w:rsid w:val="006D1FE6"/>
    <w:rsid w:val="006D2036"/>
    <w:rsid w:val="006D34E0"/>
    <w:rsid w:val="006D6EC2"/>
    <w:rsid w:val="006E0454"/>
    <w:rsid w:val="006E17D8"/>
    <w:rsid w:val="006E1ABE"/>
    <w:rsid w:val="006E3DDC"/>
    <w:rsid w:val="006E5F01"/>
    <w:rsid w:val="006E6376"/>
    <w:rsid w:val="006F0B0B"/>
    <w:rsid w:val="006F1B2D"/>
    <w:rsid w:val="006F2074"/>
    <w:rsid w:val="006F3E2C"/>
    <w:rsid w:val="006F409B"/>
    <w:rsid w:val="006F525F"/>
    <w:rsid w:val="00700F30"/>
    <w:rsid w:val="0070111C"/>
    <w:rsid w:val="00703D06"/>
    <w:rsid w:val="00705D2E"/>
    <w:rsid w:val="00705F6F"/>
    <w:rsid w:val="00706E1C"/>
    <w:rsid w:val="00711DE1"/>
    <w:rsid w:val="00714583"/>
    <w:rsid w:val="0071627A"/>
    <w:rsid w:val="007178D8"/>
    <w:rsid w:val="0072099E"/>
    <w:rsid w:val="0072151A"/>
    <w:rsid w:val="007232C6"/>
    <w:rsid w:val="007234B2"/>
    <w:rsid w:val="007244AA"/>
    <w:rsid w:val="007273FF"/>
    <w:rsid w:val="007301B4"/>
    <w:rsid w:val="00730EC7"/>
    <w:rsid w:val="00733015"/>
    <w:rsid w:val="007331A4"/>
    <w:rsid w:val="00733F9E"/>
    <w:rsid w:val="0073401B"/>
    <w:rsid w:val="007364B5"/>
    <w:rsid w:val="00737D85"/>
    <w:rsid w:val="00740084"/>
    <w:rsid w:val="00740935"/>
    <w:rsid w:val="00740B2C"/>
    <w:rsid w:val="007417E0"/>
    <w:rsid w:val="00741E95"/>
    <w:rsid w:val="00742182"/>
    <w:rsid w:val="00742A95"/>
    <w:rsid w:val="00742CF1"/>
    <w:rsid w:val="007455FF"/>
    <w:rsid w:val="0075033C"/>
    <w:rsid w:val="007509C4"/>
    <w:rsid w:val="0075211F"/>
    <w:rsid w:val="00752385"/>
    <w:rsid w:val="00752DF3"/>
    <w:rsid w:val="007552EF"/>
    <w:rsid w:val="00755825"/>
    <w:rsid w:val="007611C0"/>
    <w:rsid w:val="00762520"/>
    <w:rsid w:val="0076329A"/>
    <w:rsid w:val="007647F4"/>
    <w:rsid w:val="00764D7B"/>
    <w:rsid w:val="0076635F"/>
    <w:rsid w:val="00767EF4"/>
    <w:rsid w:val="007721B8"/>
    <w:rsid w:val="00773044"/>
    <w:rsid w:val="00773917"/>
    <w:rsid w:val="00773E06"/>
    <w:rsid w:val="00774994"/>
    <w:rsid w:val="00776AF6"/>
    <w:rsid w:val="00777873"/>
    <w:rsid w:val="00780094"/>
    <w:rsid w:val="00780C92"/>
    <w:rsid w:val="007816DD"/>
    <w:rsid w:val="00781C21"/>
    <w:rsid w:val="00781ED0"/>
    <w:rsid w:val="00785E49"/>
    <w:rsid w:val="00786952"/>
    <w:rsid w:val="00790415"/>
    <w:rsid w:val="00791B67"/>
    <w:rsid w:val="00793A2F"/>
    <w:rsid w:val="00793B11"/>
    <w:rsid w:val="00794F57"/>
    <w:rsid w:val="00795902"/>
    <w:rsid w:val="00795BF3"/>
    <w:rsid w:val="007967B4"/>
    <w:rsid w:val="0079747F"/>
    <w:rsid w:val="007A1286"/>
    <w:rsid w:val="007A19F3"/>
    <w:rsid w:val="007A1DA8"/>
    <w:rsid w:val="007A1F42"/>
    <w:rsid w:val="007A276A"/>
    <w:rsid w:val="007A4D59"/>
    <w:rsid w:val="007A59CC"/>
    <w:rsid w:val="007A5CB9"/>
    <w:rsid w:val="007A695A"/>
    <w:rsid w:val="007A7ABB"/>
    <w:rsid w:val="007A7BAF"/>
    <w:rsid w:val="007B0882"/>
    <w:rsid w:val="007B1DCE"/>
    <w:rsid w:val="007B2430"/>
    <w:rsid w:val="007B2E4E"/>
    <w:rsid w:val="007B3413"/>
    <w:rsid w:val="007B39FA"/>
    <w:rsid w:val="007B49F4"/>
    <w:rsid w:val="007B4A8C"/>
    <w:rsid w:val="007B6FCD"/>
    <w:rsid w:val="007C002C"/>
    <w:rsid w:val="007C159B"/>
    <w:rsid w:val="007C1D7C"/>
    <w:rsid w:val="007C2A45"/>
    <w:rsid w:val="007C3BFB"/>
    <w:rsid w:val="007C64AF"/>
    <w:rsid w:val="007C6BBE"/>
    <w:rsid w:val="007C6F44"/>
    <w:rsid w:val="007C6F88"/>
    <w:rsid w:val="007D072A"/>
    <w:rsid w:val="007D2E32"/>
    <w:rsid w:val="007D2F5B"/>
    <w:rsid w:val="007D3C87"/>
    <w:rsid w:val="007D5DF2"/>
    <w:rsid w:val="007D6189"/>
    <w:rsid w:val="007D636F"/>
    <w:rsid w:val="007D6C4F"/>
    <w:rsid w:val="007E01E2"/>
    <w:rsid w:val="007E230E"/>
    <w:rsid w:val="007E26FF"/>
    <w:rsid w:val="007E52C0"/>
    <w:rsid w:val="007E58D6"/>
    <w:rsid w:val="007E5C9D"/>
    <w:rsid w:val="007E6179"/>
    <w:rsid w:val="007E6723"/>
    <w:rsid w:val="007E68AD"/>
    <w:rsid w:val="007E6918"/>
    <w:rsid w:val="007E6A74"/>
    <w:rsid w:val="007E75BF"/>
    <w:rsid w:val="007F01F8"/>
    <w:rsid w:val="007F1C63"/>
    <w:rsid w:val="007F29BA"/>
    <w:rsid w:val="007F430A"/>
    <w:rsid w:val="007F517C"/>
    <w:rsid w:val="007F5340"/>
    <w:rsid w:val="007F6A8D"/>
    <w:rsid w:val="007F77C3"/>
    <w:rsid w:val="007F77CA"/>
    <w:rsid w:val="0080117A"/>
    <w:rsid w:val="00801D28"/>
    <w:rsid w:val="008022DF"/>
    <w:rsid w:val="00803E9B"/>
    <w:rsid w:val="00804117"/>
    <w:rsid w:val="008063CD"/>
    <w:rsid w:val="00807187"/>
    <w:rsid w:val="008074AB"/>
    <w:rsid w:val="008104F1"/>
    <w:rsid w:val="008135CB"/>
    <w:rsid w:val="0081369A"/>
    <w:rsid w:val="008136B9"/>
    <w:rsid w:val="00814F43"/>
    <w:rsid w:val="00815256"/>
    <w:rsid w:val="008163CC"/>
    <w:rsid w:val="0081691D"/>
    <w:rsid w:val="008170B8"/>
    <w:rsid w:val="00817E52"/>
    <w:rsid w:val="0082240E"/>
    <w:rsid w:val="00822864"/>
    <w:rsid w:val="008229B2"/>
    <w:rsid w:val="00823325"/>
    <w:rsid w:val="00824418"/>
    <w:rsid w:val="0082446A"/>
    <w:rsid w:val="00827AB0"/>
    <w:rsid w:val="00827E9D"/>
    <w:rsid w:val="00830CC5"/>
    <w:rsid w:val="0083534C"/>
    <w:rsid w:val="00836093"/>
    <w:rsid w:val="00841074"/>
    <w:rsid w:val="00841301"/>
    <w:rsid w:val="00843284"/>
    <w:rsid w:val="008436E2"/>
    <w:rsid w:val="00843BFD"/>
    <w:rsid w:val="008456D9"/>
    <w:rsid w:val="008515EE"/>
    <w:rsid w:val="008519A3"/>
    <w:rsid w:val="00851A2A"/>
    <w:rsid w:val="00852A58"/>
    <w:rsid w:val="00852C09"/>
    <w:rsid w:val="00852C55"/>
    <w:rsid w:val="00852D64"/>
    <w:rsid w:val="00853621"/>
    <w:rsid w:val="00855857"/>
    <w:rsid w:val="00860994"/>
    <w:rsid w:val="00861675"/>
    <w:rsid w:val="00862AB5"/>
    <w:rsid w:val="0086313A"/>
    <w:rsid w:val="00864636"/>
    <w:rsid w:val="008662DF"/>
    <w:rsid w:val="00867C90"/>
    <w:rsid w:val="00867F04"/>
    <w:rsid w:val="00870629"/>
    <w:rsid w:val="008707D5"/>
    <w:rsid w:val="008709E5"/>
    <w:rsid w:val="00870E8F"/>
    <w:rsid w:val="00871761"/>
    <w:rsid w:val="00872FB1"/>
    <w:rsid w:val="00873A0D"/>
    <w:rsid w:val="00873B78"/>
    <w:rsid w:val="00873E17"/>
    <w:rsid w:val="00873EF5"/>
    <w:rsid w:val="00876918"/>
    <w:rsid w:val="00882155"/>
    <w:rsid w:val="00883D9C"/>
    <w:rsid w:val="0088498B"/>
    <w:rsid w:val="0088584C"/>
    <w:rsid w:val="008867CD"/>
    <w:rsid w:val="00887179"/>
    <w:rsid w:val="00893223"/>
    <w:rsid w:val="00893804"/>
    <w:rsid w:val="00894856"/>
    <w:rsid w:val="00895161"/>
    <w:rsid w:val="00895621"/>
    <w:rsid w:val="00897219"/>
    <w:rsid w:val="008972F6"/>
    <w:rsid w:val="008974F6"/>
    <w:rsid w:val="008A02E9"/>
    <w:rsid w:val="008A154A"/>
    <w:rsid w:val="008A1B0B"/>
    <w:rsid w:val="008A1D35"/>
    <w:rsid w:val="008A1EBE"/>
    <w:rsid w:val="008A2E2A"/>
    <w:rsid w:val="008A5105"/>
    <w:rsid w:val="008A5106"/>
    <w:rsid w:val="008A6257"/>
    <w:rsid w:val="008A7D94"/>
    <w:rsid w:val="008A7E66"/>
    <w:rsid w:val="008B0047"/>
    <w:rsid w:val="008B0924"/>
    <w:rsid w:val="008B2123"/>
    <w:rsid w:val="008B23C1"/>
    <w:rsid w:val="008B3EC2"/>
    <w:rsid w:val="008B4AB4"/>
    <w:rsid w:val="008B4D8F"/>
    <w:rsid w:val="008B5E0A"/>
    <w:rsid w:val="008B629D"/>
    <w:rsid w:val="008B6594"/>
    <w:rsid w:val="008B68A5"/>
    <w:rsid w:val="008B758A"/>
    <w:rsid w:val="008C02C1"/>
    <w:rsid w:val="008C057F"/>
    <w:rsid w:val="008C070A"/>
    <w:rsid w:val="008C0A3B"/>
    <w:rsid w:val="008C14F1"/>
    <w:rsid w:val="008C18E6"/>
    <w:rsid w:val="008C20A5"/>
    <w:rsid w:val="008C2947"/>
    <w:rsid w:val="008C37EC"/>
    <w:rsid w:val="008C3F3A"/>
    <w:rsid w:val="008C45F1"/>
    <w:rsid w:val="008C4770"/>
    <w:rsid w:val="008C54E1"/>
    <w:rsid w:val="008C5C87"/>
    <w:rsid w:val="008C64C7"/>
    <w:rsid w:val="008C7408"/>
    <w:rsid w:val="008C7AA1"/>
    <w:rsid w:val="008C7C1B"/>
    <w:rsid w:val="008D01E5"/>
    <w:rsid w:val="008D0394"/>
    <w:rsid w:val="008D1443"/>
    <w:rsid w:val="008D2235"/>
    <w:rsid w:val="008D3473"/>
    <w:rsid w:val="008D40E2"/>
    <w:rsid w:val="008D42B9"/>
    <w:rsid w:val="008D4B90"/>
    <w:rsid w:val="008D4FDD"/>
    <w:rsid w:val="008D6F88"/>
    <w:rsid w:val="008D79DC"/>
    <w:rsid w:val="008E1D9E"/>
    <w:rsid w:val="008E51BE"/>
    <w:rsid w:val="008E521A"/>
    <w:rsid w:val="008E53A8"/>
    <w:rsid w:val="008E6564"/>
    <w:rsid w:val="008E6977"/>
    <w:rsid w:val="008E7B98"/>
    <w:rsid w:val="008F16A8"/>
    <w:rsid w:val="008F253D"/>
    <w:rsid w:val="008F3283"/>
    <w:rsid w:val="008F3414"/>
    <w:rsid w:val="008F5003"/>
    <w:rsid w:val="008F5D7E"/>
    <w:rsid w:val="008F6539"/>
    <w:rsid w:val="008F6A41"/>
    <w:rsid w:val="008F6C12"/>
    <w:rsid w:val="0090097B"/>
    <w:rsid w:val="00900A97"/>
    <w:rsid w:val="00901719"/>
    <w:rsid w:val="00902479"/>
    <w:rsid w:val="00903838"/>
    <w:rsid w:val="00905093"/>
    <w:rsid w:val="00905ED3"/>
    <w:rsid w:val="00906C95"/>
    <w:rsid w:val="00907030"/>
    <w:rsid w:val="00912AE7"/>
    <w:rsid w:val="00913708"/>
    <w:rsid w:val="00913901"/>
    <w:rsid w:val="00913A12"/>
    <w:rsid w:val="009142DA"/>
    <w:rsid w:val="0091532E"/>
    <w:rsid w:val="009154C7"/>
    <w:rsid w:val="00916929"/>
    <w:rsid w:val="009175ED"/>
    <w:rsid w:val="0092493E"/>
    <w:rsid w:val="00925784"/>
    <w:rsid w:val="009269EB"/>
    <w:rsid w:val="00926FEC"/>
    <w:rsid w:val="009271A6"/>
    <w:rsid w:val="00932D0D"/>
    <w:rsid w:val="0093300B"/>
    <w:rsid w:val="0093313A"/>
    <w:rsid w:val="00934843"/>
    <w:rsid w:val="009360E7"/>
    <w:rsid w:val="00936BAB"/>
    <w:rsid w:val="009370DD"/>
    <w:rsid w:val="00937D98"/>
    <w:rsid w:val="00937D9E"/>
    <w:rsid w:val="00940616"/>
    <w:rsid w:val="00940734"/>
    <w:rsid w:val="0094239C"/>
    <w:rsid w:val="0094331E"/>
    <w:rsid w:val="00944168"/>
    <w:rsid w:val="0094474A"/>
    <w:rsid w:val="009447F5"/>
    <w:rsid w:val="00944C7C"/>
    <w:rsid w:val="00946DD2"/>
    <w:rsid w:val="009478CD"/>
    <w:rsid w:val="00951F2A"/>
    <w:rsid w:val="0095370C"/>
    <w:rsid w:val="009540E4"/>
    <w:rsid w:val="00954419"/>
    <w:rsid w:val="00957A65"/>
    <w:rsid w:val="00963F22"/>
    <w:rsid w:val="0096404A"/>
    <w:rsid w:val="00964705"/>
    <w:rsid w:val="00965665"/>
    <w:rsid w:val="00965AA5"/>
    <w:rsid w:val="00972420"/>
    <w:rsid w:val="00972C7D"/>
    <w:rsid w:val="00973D94"/>
    <w:rsid w:val="00975950"/>
    <w:rsid w:val="0097623D"/>
    <w:rsid w:val="00976249"/>
    <w:rsid w:val="00977894"/>
    <w:rsid w:val="0097799F"/>
    <w:rsid w:val="00977AE8"/>
    <w:rsid w:val="009806C7"/>
    <w:rsid w:val="00981646"/>
    <w:rsid w:val="009821DA"/>
    <w:rsid w:val="009829E4"/>
    <w:rsid w:val="00982AA3"/>
    <w:rsid w:val="00984A9A"/>
    <w:rsid w:val="00985885"/>
    <w:rsid w:val="00985D64"/>
    <w:rsid w:val="0098601E"/>
    <w:rsid w:val="00986EF2"/>
    <w:rsid w:val="00990565"/>
    <w:rsid w:val="00990E83"/>
    <w:rsid w:val="00992302"/>
    <w:rsid w:val="00992770"/>
    <w:rsid w:val="00992C92"/>
    <w:rsid w:val="00993357"/>
    <w:rsid w:val="00993AF4"/>
    <w:rsid w:val="009947D8"/>
    <w:rsid w:val="00994B25"/>
    <w:rsid w:val="00995265"/>
    <w:rsid w:val="009958BD"/>
    <w:rsid w:val="00995F94"/>
    <w:rsid w:val="00996066"/>
    <w:rsid w:val="00997C43"/>
    <w:rsid w:val="009A2031"/>
    <w:rsid w:val="009A6681"/>
    <w:rsid w:val="009B0CB3"/>
    <w:rsid w:val="009C06E2"/>
    <w:rsid w:val="009C0A07"/>
    <w:rsid w:val="009C0D1C"/>
    <w:rsid w:val="009C154E"/>
    <w:rsid w:val="009C176A"/>
    <w:rsid w:val="009C29F7"/>
    <w:rsid w:val="009C3CA6"/>
    <w:rsid w:val="009C3FD6"/>
    <w:rsid w:val="009C6B64"/>
    <w:rsid w:val="009C6EC8"/>
    <w:rsid w:val="009C6F78"/>
    <w:rsid w:val="009D1607"/>
    <w:rsid w:val="009D18F9"/>
    <w:rsid w:val="009D218C"/>
    <w:rsid w:val="009D4128"/>
    <w:rsid w:val="009D4AC5"/>
    <w:rsid w:val="009D4B57"/>
    <w:rsid w:val="009D4C68"/>
    <w:rsid w:val="009E08C5"/>
    <w:rsid w:val="009E0AC8"/>
    <w:rsid w:val="009E0AE7"/>
    <w:rsid w:val="009E0FB2"/>
    <w:rsid w:val="009E10C6"/>
    <w:rsid w:val="009E1B51"/>
    <w:rsid w:val="009E41F8"/>
    <w:rsid w:val="009E495B"/>
    <w:rsid w:val="009E4CAB"/>
    <w:rsid w:val="009E6E65"/>
    <w:rsid w:val="009E7135"/>
    <w:rsid w:val="009E7318"/>
    <w:rsid w:val="009E79B6"/>
    <w:rsid w:val="009F0E04"/>
    <w:rsid w:val="009F2255"/>
    <w:rsid w:val="009F284E"/>
    <w:rsid w:val="009F2A11"/>
    <w:rsid w:val="009F2A35"/>
    <w:rsid w:val="009F3DCC"/>
    <w:rsid w:val="009F4629"/>
    <w:rsid w:val="009F5775"/>
    <w:rsid w:val="009F6BCA"/>
    <w:rsid w:val="009F6F29"/>
    <w:rsid w:val="009F7AEE"/>
    <w:rsid w:val="00A00006"/>
    <w:rsid w:val="00A01434"/>
    <w:rsid w:val="00A02390"/>
    <w:rsid w:val="00A0244F"/>
    <w:rsid w:val="00A0248D"/>
    <w:rsid w:val="00A02522"/>
    <w:rsid w:val="00A03C26"/>
    <w:rsid w:val="00A05FD6"/>
    <w:rsid w:val="00A06075"/>
    <w:rsid w:val="00A07874"/>
    <w:rsid w:val="00A07FD7"/>
    <w:rsid w:val="00A10FB0"/>
    <w:rsid w:val="00A11D9F"/>
    <w:rsid w:val="00A15B9A"/>
    <w:rsid w:val="00A15E16"/>
    <w:rsid w:val="00A170F0"/>
    <w:rsid w:val="00A17450"/>
    <w:rsid w:val="00A20CCA"/>
    <w:rsid w:val="00A20D1D"/>
    <w:rsid w:val="00A26438"/>
    <w:rsid w:val="00A27825"/>
    <w:rsid w:val="00A31247"/>
    <w:rsid w:val="00A34232"/>
    <w:rsid w:val="00A34F49"/>
    <w:rsid w:val="00A36501"/>
    <w:rsid w:val="00A37E61"/>
    <w:rsid w:val="00A37FEA"/>
    <w:rsid w:val="00A408CB"/>
    <w:rsid w:val="00A40B4C"/>
    <w:rsid w:val="00A415EB"/>
    <w:rsid w:val="00A42F6E"/>
    <w:rsid w:val="00A4387B"/>
    <w:rsid w:val="00A43BFF"/>
    <w:rsid w:val="00A453EE"/>
    <w:rsid w:val="00A46466"/>
    <w:rsid w:val="00A51629"/>
    <w:rsid w:val="00A51E8C"/>
    <w:rsid w:val="00A520A5"/>
    <w:rsid w:val="00A527F7"/>
    <w:rsid w:val="00A52F96"/>
    <w:rsid w:val="00A54AD1"/>
    <w:rsid w:val="00A55A22"/>
    <w:rsid w:val="00A56562"/>
    <w:rsid w:val="00A62721"/>
    <w:rsid w:val="00A62A90"/>
    <w:rsid w:val="00A642FF"/>
    <w:rsid w:val="00A6501D"/>
    <w:rsid w:val="00A65EB1"/>
    <w:rsid w:val="00A67C36"/>
    <w:rsid w:val="00A67E9A"/>
    <w:rsid w:val="00A738EF"/>
    <w:rsid w:val="00A771D6"/>
    <w:rsid w:val="00A774A7"/>
    <w:rsid w:val="00A8012D"/>
    <w:rsid w:val="00A80384"/>
    <w:rsid w:val="00A803A1"/>
    <w:rsid w:val="00A80442"/>
    <w:rsid w:val="00A80852"/>
    <w:rsid w:val="00A82F68"/>
    <w:rsid w:val="00A85CB3"/>
    <w:rsid w:val="00A86AF7"/>
    <w:rsid w:val="00A86B95"/>
    <w:rsid w:val="00A87CE2"/>
    <w:rsid w:val="00A9085E"/>
    <w:rsid w:val="00A96D3E"/>
    <w:rsid w:val="00A97CBB"/>
    <w:rsid w:val="00AA0453"/>
    <w:rsid w:val="00AA0BDC"/>
    <w:rsid w:val="00AA1865"/>
    <w:rsid w:val="00AA1FD6"/>
    <w:rsid w:val="00AA3139"/>
    <w:rsid w:val="00AA31B9"/>
    <w:rsid w:val="00AA4536"/>
    <w:rsid w:val="00AA61C0"/>
    <w:rsid w:val="00AB0016"/>
    <w:rsid w:val="00AB1C1A"/>
    <w:rsid w:val="00AB3FE5"/>
    <w:rsid w:val="00AB4C69"/>
    <w:rsid w:val="00AC1648"/>
    <w:rsid w:val="00AC366C"/>
    <w:rsid w:val="00AC6DC8"/>
    <w:rsid w:val="00AD3F40"/>
    <w:rsid w:val="00AD50B5"/>
    <w:rsid w:val="00AD6514"/>
    <w:rsid w:val="00AE0ED8"/>
    <w:rsid w:val="00AE3316"/>
    <w:rsid w:val="00AE60D1"/>
    <w:rsid w:val="00AE61F3"/>
    <w:rsid w:val="00AE61F5"/>
    <w:rsid w:val="00AE673E"/>
    <w:rsid w:val="00AE7DE4"/>
    <w:rsid w:val="00AF136C"/>
    <w:rsid w:val="00AF1B43"/>
    <w:rsid w:val="00AF22A2"/>
    <w:rsid w:val="00AF2ED4"/>
    <w:rsid w:val="00AF3F6C"/>
    <w:rsid w:val="00AF4323"/>
    <w:rsid w:val="00AF4DB1"/>
    <w:rsid w:val="00AF5714"/>
    <w:rsid w:val="00AF607D"/>
    <w:rsid w:val="00AF674A"/>
    <w:rsid w:val="00AF6C79"/>
    <w:rsid w:val="00AF7D13"/>
    <w:rsid w:val="00B020FA"/>
    <w:rsid w:val="00B04223"/>
    <w:rsid w:val="00B04FE4"/>
    <w:rsid w:val="00B055E2"/>
    <w:rsid w:val="00B06376"/>
    <w:rsid w:val="00B077DB"/>
    <w:rsid w:val="00B1085E"/>
    <w:rsid w:val="00B10DFF"/>
    <w:rsid w:val="00B123A7"/>
    <w:rsid w:val="00B12DBB"/>
    <w:rsid w:val="00B13266"/>
    <w:rsid w:val="00B134A0"/>
    <w:rsid w:val="00B13615"/>
    <w:rsid w:val="00B141AB"/>
    <w:rsid w:val="00B15810"/>
    <w:rsid w:val="00B159A8"/>
    <w:rsid w:val="00B165EB"/>
    <w:rsid w:val="00B16D29"/>
    <w:rsid w:val="00B17701"/>
    <w:rsid w:val="00B21FAF"/>
    <w:rsid w:val="00B2474B"/>
    <w:rsid w:val="00B2510A"/>
    <w:rsid w:val="00B2524C"/>
    <w:rsid w:val="00B25F7D"/>
    <w:rsid w:val="00B2609A"/>
    <w:rsid w:val="00B26254"/>
    <w:rsid w:val="00B2738B"/>
    <w:rsid w:val="00B3024A"/>
    <w:rsid w:val="00B307F9"/>
    <w:rsid w:val="00B318B2"/>
    <w:rsid w:val="00B33262"/>
    <w:rsid w:val="00B33457"/>
    <w:rsid w:val="00B3390E"/>
    <w:rsid w:val="00B34255"/>
    <w:rsid w:val="00B34D7F"/>
    <w:rsid w:val="00B3567D"/>
    <w:rsid w:val="00B3593A"/>
    <w:rsid w:val="00B3630A"/>
    <w:rsid w:val="00B36791"/>
    <w:rsid w:val="00B37404"/>
    <w:rsid w:val="00B40B97"/>
    <w:rsid w:val="00B41EF7"/>
    <w:rsid w:val="00B4331C"/>
    <w:rsid w:val="00B43947"/>
    <w:rsid w:val="00B44467"/>
    <w:rsid w:val="00B45171"/>
    <w:rsid w:val="00B465DD"/>
    <w:rsid w:val="00B46B22"/>
    <w:rsid w:val="00B47230"/>
    <w:rsid w:val="00B4788A"/>
    <w:rsid w:val="00B5109E"/>
    <w:rsid w:val="00B5214C"/>
    <w:rsid w:val="00B52564"/>
    <w:rsid w:val="00B529C0"/>
    <w:rsid w:val="00B55B2A"/>
    <w:rsid w:val="00B56B74"/>
    <w:rsid w:val="00B56D0C"/>
    <w:rsid w:val="00B5780F"/>
    <w:rsid w:val="00B60049"/>
    <w:rsid w:val="00B61C8A"/>
    <w:rsid w:val="00B62FF2"/>
    <w:rsid w:val="00B63CE9"/>
    <w:rsid w:val="00B64577"/>
    <w:rsid w:val="00B65FB8"/>
    <w:rsid w:val="00B66493"/>
    <w:rsid w:val="00B66B4F"/>
    <w:rsid w:val="00B66D35"/>
    <w:rsid w:val="00B67B72"/>
    <w:rsid w:val="00B72119"/>
    <w:rsid w:val="00B7222A"/>
    <w:rsid w:val="00B72454"/>
    <w:rsid w:val="00B72557"/>
    <w:rsid w:val="00B75F93"/>
    <w:rsid w:val="00B77DFD"/>
    <w:rsid w:val="00B80F92"/>
    <w:rsid w:val="00B8112E"/>
    <w:rsid w:val="00B824C6"/>
    <w:rsid w:val="00B82F09"/>
    <w:rsid w:val="00B85CC1"/>
    <w:rsid w:val="00B87CE6"/>
    <w:rsid w:val="00B9144F"/>
    <w:rsid w:val="00B92AF0"/>
    <w:rsid w:val="00B94A5D"/>
    <w:rsid w:val="00B9578D"/>
    <w:rsid w:val="00B95D29"/>
    <w:rsid w:val="00B97396"/>
    <w:rsid w:val="00BA08CB"/>
    <w:rsid w:val="00BA1A88"/>
    <w:rsid w:val="00BA5493"/>
    <w:rsid w:val="00BA5F48"/>
    <w:rsid w:val="00BA72B6"/>
    <w:rsid w:val="00BA7684"/>
    <w:rsid w:val="00BB16AE"/>
    <w:rsid w:val="00BB1D06"/>
    <w:rsid w:val="00BB1DD6"/>
    <w:rsid w:val="00BB2D77"/>
    <w:rsid w:val="00BB4D99"/>
    <w:rsid w:val="00BB63B1"/>
    <w:rsid w:val="00BB7E67"/>
    <w:rsid w:val="00BC0D05"/>
    <w:rsid w:val="00BC161C"/>
    <w:rsid w:val="00BC3790"/>
    <w:rsid w:val="00BC39E9"/>
    <w:rsid w:val="00BC3F42"/>
    <w:rsid w:val="00BC6886"/>
    <w:rsid w:val="00BC71D1"/>
    <w:rsid w:val="00BC796C"/>
    <w:rsid w:val="00BC7B27"/>
    <w:rsid w:val="00BC7BC1"/>
    <w:rsid w:val="00BD05C6"/>
    <w:rsid w:val="00BD1948"/>
    <w:rsid w:val="00BD2202"/>
    <w:rsid w:val="00BD26DE"/>
    <w:rsid w:val="00BD3A2C"/>
    <w:rsid w:val="00BD4CC0"/>
    <w:rsid w:val="00BD4D76"/>
    <w:rsid w:val="00BD4D8C"/>
    <w:rsid w:val="00BD5943"/>
    <w:rsid w:val="00BD6EF4"/>
    <w:rsid w:val="00BD7557"/>
    <w:rsid w:val="00BD7DEA"/>
    <w:rsid w:val="00BE032A"/>
    <w:rsid w:val="00BE1344"/>
    <w:rsid w:val="00BE21DB"/>
    <w:rsid w:val="00BE2247"/>
    <w:rsid w:val="00BE389D"/>
    <w:rsid w:val="00BF0882"/>
    <w:rsid w:val="00BF2513"/>
    <w:rsid w:val="00BF2658"/>
    <w:rsid w:val="00BF4599"/>
    <w:rsid w:val="00BF5453"/>
    <w:rsid w:val="00BF6570"/>
    <w:rsid w:val="00C00274"/>
    <w:rsid w:val="00C0066B"/>
    <w:rsid w:val="00C0120F"/>
    <w:rsid w:val="00C01C4E"/>
    <w:rsid w:val="00C02285"/>
    <w:rsid w:val="00C0236C"/>
    <w:rsid w:val="00C04451"/>
    <w:rsid w:val="00C04FC3"/>
    <w:rsid w:val="00C066F4"/>
    <w:rsid w:val="00C0741C"/>
    <w:rsid w:val="00C10C89"/>
    <w:rsid w:val="00C13867"/>
    <w:rsid w:val="00C14497"/>
    <w:rsid w:val="00C151DE"/>
    <w:rsid w:val="00C15BFB"/>
    <w:rsid w:val="00C20427"/>
    <w:rsid w:val="00C20796"/>
    <w:rsid w:val="00C20DF0"/>
    <w:rsid w:val="00C21B5C"/>
    <w:rsid w:val="00C22726"/>
    <w:rsid w:val="00C254F1"/>
    <w:rsid w:val="00C2577E"/>
    <w:rsid w:val="00C2660F"/>
    <w:rsid w:val="00C30329"/>
    <w:rsid w:val="00C30C67"/>
    <w:rsid w:val="00C30D28"/>
    <w:rsid w:val="00C333D3"/>
    <w:rsid w:val="00C3380C"/>
    <w:rsid w:val="00C3534C"/>
    <w:rsid w:val="00C35782"/>
    <w:rsid w:val="00C36642"/>
    <w:rsid w:val="00C40501"/>
    <w:rsid w:val="00C411B8"/>
    <w:rsid w:val="00C41764"/>
    <w:rsid w:val="00C41E01"/>
    <w:rsid w:val="00C41EF1"/>
    <w:rsid w:val="00C42601"/>
    <w:rsid w:val="00C44998"/>
    <w:rsid w:val="00C46680"/>
    <w:rsid w:val="00C46F93"/>
    <w:rsid w:val="00C47B4C"/>
    <w:rsid w:val="00C53E45"/>
    <w:rsid w:val="00C56D15"/>
    <w:rsid w:val="00C575BB"/>
    <w:rsid w:val="00C578C7"/>
    <w:rsid w:val="00C61300"/>
    <w:rsid w:val="00C633CA"/>
    <w:rsid w:val="00C63E88"/>
    <w:rsid w:val="00C63F7D"/>
    <w:rsid w:val="00C64420"/>
    <w:rsid w:val="00C65BF9"/>
    <w:rsid w:val="00C66016"/>
    <w:rsid w:val="00C668CB"/>
    <w:rsid w:val="00C6747B"/>
    <w:rsid w:val="00C67DE2"/>
    <w:rsid w:val="00C67F57"/>
    <w:rsid w:val="00C7038F"/>
    <w:rsid w:val="00C70583"/>
    <w:rsid w:val="00C70A0A"/>
    <w:rsid w:val="00C711C7"/>
    <w:rsid w:val="00C73965"/>
    <w:rsid w:val="00C84A65"/>
    <w:rsid w:val="00C85225"/>
    <w:rsid w:val="00C85458"/>
    <w:rsid w:val="00C91FC7"/>
    <w:rsid w:val="00C925BF"/>
    <w:rsid w:val="00C92867"/>
    <w:rsid w:val="00C92C7B"/>
    <w:rsid w:val="00C937AD"/>
    <w:rsid w:val="00C94389"/>
    <w:rsid w:val="00C94A32"/>
    <w:rsid w:val="00C97492"/>
    <w:rsid w:val="00CA1053"/>
    <w:rsid w:val="00CA1275"/>
    <w:rsid w:val="00CA1EEB"/>
    <w:rsid w:val="00CA201D"/>
    <w:rsid w:val="00CA2715"/>
    <w:rsid w:val="00CA2D0B"/>
    <w:rsid w:val="00CA418C"/>
    <w:rsid w:val="00CA5848"/>
    <w:rsid w:val="00CA5A47"/>
    <w:rsid w:val="00CA6046"/>
    <w:rsid w:val="00CA611A"/>
    <w:rsid w:val="00CA625F"/>
    <w:rsid w:val="00CA7DD6"/>
    <w:rsid w:val="00CB263C"/>
    <w:rsid w:val="00CB2EB9"/>
    <w:rsid w:val="00CB3E19"/>
    <w:rsid w:val="00CB499F"/>
    <w:rsid w:val="00CB5979"/>
    <w:rsid w:val="00CB5BBB"/>
    <w:rsid w:val="00CB5F57"/>
    <w:rsid w:val="00CB61E8"/>
    <w:rsid w:val="00CB6773"/>
    <w:rsid w:val="00CB75A6"/>
    <w:rsid w:val="00CC0ED3"/>
    <w:rsid w:val="00CC3474"/>
    <w:rsid w:val="00CC4972"/>
    <w:rsid w:val="00CC666B"/>
    <w:rsid w:val="00CC6A9F"/>
    <w:rsid w:val="00CC6EE3"/>
    <w:rsid w:val="00CD04C1"/>
    <w:rsid w:val="00CD11CF"/>
    <w:rsid w:val="00CD13AB"/>
    <w:rsid w:val="00CD2C9A"/>
    <w:rsid w:val="00CD37B6"/>
    <w:rsid w:val="00CD44E1"/>
    <w:rsid w:val="00CD647A"/>
    <w:rsid w:val="00CD66EB"/>
    <w:rsid w:val="00CD6845"/>
    <w:rsid w:val="00CD6B6D"/>
    <w:rsid w:val="00CD7666"/>
    <w:rsid w:val="00CE1DBC"/>
    <w:rsid w:val="00CE3617"/>
    <w:rsid w:val="00CE4619"/>
    <w:rsid w:val="00CE5AE7"/>
    <w:rsid w:val="00CE6466"/>
    <w:rsid w:val="00CE79BE"/>
    <w:rsid w:val="00CE7B04"/>
    <w:rsid w:val="00CF0692"/>
    <w:rsid w:val="00CF0704"/>
    <w:rsid w:val="00CF1E13"/>
    <w:rsid w:val="00CF3C0B"/>
    <w:rsid w:val="00CF3E45"/>
    <w:rsid w:val="00CF669E"/>
    <w:rsid w:val="00CF68F7"/>
    <w:rsid w:val="00CF72AA"/>
    <w:rsid w:val="00CF72E8"/>
    <w:rsid w:val="00CF7361"/>
    <w:rsid w:val="00CF7C55"/>
    <w:rsid w:val="00D01DA5"/>
    <w:rsid w:val="00D02704"/>
    <w:rsid w:val="00D03F1F"/>
    <w:rsid w:val="00D045CF"/>
    <w:rsid w:val="00D0678E"/>
    <w:rsid w:val="00D107C9"/>
    <w:rsid w:val="00D109A7"/>
    <w:rsid w:val="00D1126A"/>
    <w:rsid w:val="00D1218C"/>
    <w:rsid w:val="00D1260E"/>
    <w:rsid w:val="00D126FC"/>
    <w:rsid w:val="00D133D0"/>
    <w:rsid w:val="00D15359"/>
    <w:rsid w:val="00D1708F"/>
    <w:rsid w:val="00D1737B"/>
    <w:rsid w:val="00D177CF"/>
    <w:rsid w:val="00D2001C"/>
    <w:rsid w:val="00D23417"/>
    <w:rsid w:val="00D2378F"/>
    <w:rsid w:val="00D25A7B"/>
    <w:rsid w:val="00D27E18"/>
    <w:rsid w:val="00D30753"/>
    <w:rsid w:val="00D307AB"/>
    <w:rsid w:val="00D30E5A"/>
    <w:rsid w:val="00D31A80"/>
    <w:rsid w:val="00D32B48"/>
    <w:rsid w:val="00D33171"/>
    <w:rsid w:val="00D34555"/>
    <w:rsid w:val="00D348D8"/>
    <w:rsid w:val="00D34F0E"/>
    <w:rsid w:val="00D3564A"/>
    <w:rsid w:val="00D36D9B"/>
    <w:rsid w:val="00D40636"/>
    <w:rsid w:val="00D428B8"/>
    <w:rsid w:val="00D44732"/>
    <w:rsid w:val="00D44FA7"/>
    <w:rsid w:val="00D45B2C"/>
    <w:rsid w:val="00D47C20"/>
    <w:rsid w:val="00D51DCF"/>
    <w:rsid w:val="00D520F1"/>
    <w:rsid w:val="00D5263E"/>
    <w:rsid w:val="00D55658"/>
    <w:rsid w:val="00D558D4"/>
    <w:rsid w:val="00D558F0"/>
    <w:rsid w:val="00D56239"/>
    <w:rsid w:val="00D56849"/>
    <w:rsid w:val="00D6025A"/>
    <w:rsid w:val="00D607C7"/>
    <w:rsid w:val="00D6202A"/>
    <w:rsid w:val="00D62BDC"/>
    <w:rsid w:val="00D63C8F"/>
    <w:rsid w:val="00D63E6D"/>
    <w:rsid w:val="00D6568E"/>
    <w:rsid w:val="00D65830"/>
    <w:rsid w:val="00D66FB6"/>
    <w:rsid w:val="00D6755A"/>
    <w:rsid w:val="00D67620"/>
    <w:rsid w:val="00D67C18"/>
    <w:rsid w:val="00D70655"/>
    <w:rsid w:val="00D70E5D"/>
    <w:rsid w:val="00D72823"/>
    <w:rsid w:val="00D72A2A"/>
    <w:rsid w:val="00D73D06"/>
    <w:rsid w:val="00D74468"/>
    <w:rsid w:val="00D75414"/>
    <w:rsid w:val="00D7616C"/>
    <w:rsid w:val="00D777EA"/>
    <w:rsid w:val="00D800C8"/>
    <w:rsid w:val="00D805D0"/>
    <w:rsid w:val="00D80B90"/>
    <w:rsid w:val="00D82512"/>
    <w:rsid w:val="00D827C1"/>
    <w:rsid w:val="00D8375F"/>
    <w:rsid w:val="00D838BC"/>
    <w:rsid w:val="00D83FF6"/>
    <w:rsid w:val="00D843B6"/>
    <w:rsid w:val="00D848B9"/>
    <w:rsid w:val="00D85C72"/>
    <w:rsid w:val="00D86B87"/>
    <w:rsid w:val="00D87F70"/>
    <w:rsid w:val="00D9028D"/>
    <w:rsid w:val="00D90B57"/>
    <w:rsid w:val="00D90F27"/>
    <w:rsid w:val="00D91591"/>
    <w:rsid w:val="00D943AD"/>
    <w:rsid w:val="00D952BE"/>
    <w:rsid w:val="00D95C41"/>
    <w:rsid w:val="00D96A1E"/>
    <w:rsid w:val="00D9744C"/>
    <w:rsid w:val="00D97C08"/>
    <w:rsid w:val="00DA2E8D"/>
    <w:rsid w:val="00DA35DF"/>
    <w:rsid w:val="00DA463B"/>
    <w:rsid w:val="00DA6479"/>
    <w:rsid w:val="00DA7FBB"/>
    <w:rsid w:val="00DB1417"/>
    <w:rsid w:val="00DB32EF"/>
    <w:rsid w:val="00DB330F"/>
    <w:rsid w:val="00DB363D"/>
    <w:rsid w:val="00DB3A72"/>
    <w:rsid w:val="00DB40BE"/>
    <w:rsid w:val="00DB49E7"/>
    <w:rsid w:val="00DB5DDD"/>
    <w:rsid w:val="00DB6CF6"/>
    <w:rsid w:val="00DB769A"/>
    <w:rsid w:val="00DB7E18"/>
    <w:rsid w:val="00DB7E74"/>
    <w:rsid w:val="00DC05A6"/>
    <w:rsid w:val="00DC18A6"/>
    <w:rsid w:val="00DC1E7B"/>
    <w:rsid w:val="00DC25F7"/>
    <w:rsid w:val="00DC4E47"/>
    <w:rsid w:val="00DC64C0"/>
    <w:rsid w:val="00DC705A"/>
    <w:rsid w:val="00DD010C"/>
    <w:rsid w:val="00DD05F1"/>
    <w:rsid w:val="00DD1345"/>
    <w:rsid w:val="00DD172C"/>
    <w:rsid w:val="00DD17D7"/>
    <w:rsid w:val="00DD230A"/>
    <w:rsid w:val="00DD461F"/>
    <w:rsid w:val="00DD5656"/>
    <w:rsid w:val="00DD5DA2"/>
    <w:rsid w:val="00DD5F34"/>
    <w:rsid w:val="00DD6D7E"/>
    <w:rsid w:val="00DD6E83"/>
    <w:rsid w:val="00DE0086"/>
    <w:rsid w:val="00DE0C20"/>
    <w:rsid w:val="00DE1667"/>
    <w:rsid w:val="00DE2797"/>
    <w:rsid w:val="00DE37E5"/>
    <w:rsid w:val="00DE5523"/>
    <w:rsid w:val="00DE5FA3"/>
    <w:rsid w:val="00DE6692"/>
    <w:rsid w:val="00DE7688"/>
    <w:rsid w:val="00DF0E77"/>
    <w:rsid w:val="00DF3689"/>
    <w:rsid w:val="00DF4459"/>
    <w:rsid w:val="00DF6AAD"/>
    <w:rsid w:val="00DF765A"/>
    <w:rsid w:val="00E01E86"/>
    <w:rsid w:val="00E027E9"/>
    <w:rsid w:val="00E04722"/>
    <w:rsid w:val="00E065BE"/>
    <w:rsid w:val="00E079B0"/>
    <w:rsid w:val="00E07ADC"/>
    <w:rsid w:val="00E1431D"/>
    <w:rsid w:val="00E14C4C"/>
    <w:rsid w:val="00E15230"/>
    <w:rsid w:val="00E15924"/>
    <w:rsid w:val="00E16020"/>
    <w:rsid w:val="00E1644B"/>
    <w:rsid w:val="00E16887"/>
    <w:rsid w:val="00E17D54"/>
    <w:rsid w:val="00E17F4A"/>
    <w:rsid w:val="00E211F7"/>
    <w:rsid w:val="00E2412F"/>
    <w:rsid w:val="00E2514A"/>
    <w:rsid w:val="00E253D6"/>
    <w:rsid w:val="00E25BAB"/>
    <w:rsid w:val="00E3022C"/>
    <w:rsid w:val="00E30497"/>
    <w:rsid w:val="00E30801"/>
    <w:rsid w:val="00E3180A"/>
    <w:rsid w:val="00E334D8"/>
    <w:rsid w:val="00E36356"/>
    <w:rsid w:val="00E369B8"/>
    <w:rsid w:val="00E3767A"/>
    <w:rsid w:val="00E41073"/>
    <w:rsid w:val="00E428B7"/>
    <w:rsid w:val="00E501F8"/>
    <w:rsid w:val="00E50564"/>
    <w:rsid w:val="00E51C32"/>
    <w:rsid w:val="00E52CB0"/>
    <w:rsid w:val="00E52E24"/>
    <w:rsid w:val="00E5326B"/>
    <w:rsid w:val="00E548A5"/>
    <w:rsid w:val="00E55F78"/>
    <w:rsid w:val="00E6119A"/>
    <w:rsid w:val="00E614E2"/>
    <w:rsid w:val="00E62C4B"/>
    <w:rsid w:val="00E62DDA"/>
    <w:rsid w:val="00E635BD"/>
    <w:rsid w:val="00E6371D"/>
    <w:rsid w:val="00E63B97"/>
    <w:rsid w:val="00E63F83"/>
    <w:rsid w:val="00E644F0"/>
    <w:rsid w:val="00E6522B"/>
    <w:rsid w:val="00E65396"/>
    <w:rsid w:val="00E656B0"/>
    <w:rsid w:val="00E66BE5"/>
    <w:rsid w:val="00E67B91"/>
    <w:rsid w:val="00E7023A"/>
    <w:rsid w:val="00E713FA"/>
    <w:rsid w:val="00E71443"/>
    <w:rsid w:val="00E71A19"/>
    <w:rsid w:val="00E7291A"/>
    <w:rsid w:val="00E73295"/>
    <w:rsid w:val="00E771D3"/>
    <w:rsid w:val="00E77A38"/>
    <w:rsid w:val="00E802BE"/>
    <w:rsid w:val="00E837C9"/>
    <w:rsid w:val="00E869AD"/>
    <w:rsid w:val="00E92980"/>
    <w:rsid w:val="00E938EC"/>
    <w:rsid w:val="00E94083"/>
    <w:rsid w:val="00E94E56"/>
    <w:rsid w:val="00E964E6"/>
    <w:rsid w:val="00E97321"/>
    <w:rsid w:val="00E97884"/>
    <w:rsid w:val="00E97EE6"/>
    <w:rsid w:val="00EA2433"/>
    <w:rsid w:val="00EA3E9A"/>
    <w:rsid w:val="00EA4DD7"/>
    <w:rsid w:val="00EA5044"/>
    <w:rsid w:val="00EA7CA0"/>
    <w:rsid w:val="00EB013B"/>
    <w:rsid w:val="00EB28FA"/>
    <w:rsid w:val="00EB3707"/>
    <w:rsid w:val="00EB3881"/>
    <w:rsid w:val="00EB477E"/>
    <w:rsid w:val="00EB5F87"/>
    <w:rsid w:val="00EC1A5E"/>
    <w:rsid w:val="00EC1AC0"/>
    <w:rsid w:val="00EC4385"/>
    <w:rsid w:val="00EC6794"/>
    <w:rsid w:val="00EC6E91"/>
    <w:rsid w:val="00EC72B4"/>
    <w:rsid w:val="00EC7AA4"/>
    <w:rsid w:val="00ED0213"/>
    <w:rsid w:val="00ED3D82"/>
    <w:rsid w:val="00ED40D0"/>
    <w:rsid w:val="00ED4D80"/>
    <w:rsid w:val="00ED5E17"/>
    <w:rsid w:val="00ED6358"/>
    <w:rsid w:val="00ED68D7"/>
    <w:rsid w:val="00ED7074"/>
    <w:rsid w:val="00ED746A"/>
    <w:rsid w:val="00ED770C"/>
    <w:rsid w:val="00EE014F"/>
    <w:rsid w:val="00EE0EC2"/>
    <w:rsid w:val="00EE106B"/>
    <w:rsid w:val="00EE1E94"/>
    <w:rsid w:val="00EE1F0A"/>
    <w:rsid w:val="00EE2201"/>
    <w:rsid w:val="00EE357D"/>
    <w:rsid w:val="00EE4559"/>
    <w:rsid w:val="00EE49AA"/>
    <w:rsid w:val="00EE763C"/>
    <w:rsid w:val="00EF2516"/>
    <w:rsid w:val="00EF3921"/>
    <w:rsid w:val="00EF42FC"/>
    <w:rsid w:val="00EF4C2E"/>
    <w:rsid w:val="00EF545A"/>
    <w:rsid w:val="00EF58B2"/>
    <w:rsid w:val="00EF5DCF"/>
    <w:rsid w:val="00EF6B6E"/>
    <w:rsid w:val="00F00786"/>
    <w:rsid w:val="00F0281E"/>
    <w:rsid w:val="00F02939"/>
    <w:rsid w:val="00F0508E"/>
    <w:rsid w:val="00F0627D"/>
    <w:rsid w:val="00F067A5"/>
    <w:rsid w:val="00F1030C"/>
    <w:rsid w:val="00F1082B"/>
    <w:rsid w:val="00F10CD7"/>
    <w:rsid w:val="00F1190E"/>
    <w:rsid w:val="00F11BC0"/>
    <w:rsid w:val="00F14F11"/>
    <w:rsid w:val="00F169A3"/>
    <w:rsid w:val="00F177D3"/>
    <w:rsid w:val="00F20128"/>
    <w:rsid w:val="00F239E1"/>
    <w:rsid w:val="00F24208"/>
    <w:rsid w:val="00F25541"/>
    <w:rsid w:val="00F2728A"/>
    <w:rsid w:val="00F30D83"/>
    <w:rsid w:val="00F31770"/>
    <w:rsid w:val="00F3202C"/>
    <w:rsid w:val="00F3359A"/>
    <w:rsid w:val="00F34468"/>
    <w:rsid w:val="00F3581F"/>
    <w:rsid w:val="00F3588C"/>
    <w:rsid w:val="00F40B2D"/>
    <w:rsid w:val="00F41006"/>
    <w:rsid w:val="00F44844"/>
    <w:rsid w:val="00F45723"/>
    <w:rsid w:val="00F4660B"/>
    <w:rsid w:val="00F46FE0"/>
    <w:rsid w:val="00F47260"/>
    <w:rsid w:val="00F47AB4"/>
    <w:rsid w:val="00F503AE"/>
    <w:rsid w:val="00F51A4B"/>
    <w:rsid w:val="00F524AE"/>
    <w:rsid w:val="00F539F0"/>
    <w:rsid w:val="00F53A26"/>
    <w:rsid w:val="00F5483F"/>
    <w:rsid w:val="00F550F4"/>
    <w:rsid w:val="00F5604A"/>
    <w:rsid w:val="00F578C2"/>
    <w:rsid w:val="00F62BA7"/>
    <w:rsid w:val="00F63A72"/>
    <w:rsid w:val="00F70422"/>
    <w:rsid w:val="00F71108"/>
    <w:rsid w:val="00F71D85"/>
    <w:rsid w:val="00F72440"/>
    <w:rsid w:val="00F72B3E"/>
    <w:rsid w:val="00F736C8"/>
    <w:rsid w:val="00F7455B"/>
    <w:rsid w:val="00F7468E"/>
    <w:rsid w:val="00F74794"/>
    <w:rsid w:val="00F75277"/>
    <w:rsid w:val="00F756B5"/>
    <w:rsid w:val="00F77CB1"/>
    <w:rsid w:val="00F80171"/>
    <w:rsid w:val="00F81023"/>
    <w:rsid w:val="00F820CF"/>
    <w:rsid w:val="00F827C9"/>
    <w:rsid w:val="00F82F38"/>
    <w:rsid w:val="00F83561"/>
    <w:rsid w:val="00F83A34"/>
    <w:rsid w:val="00F83F9E"/>
    <w:rsid w:val="00F8544A"/>
    <w:rsid w:val="00F8677B"/>
    <w:rsid w:val="00F87A81"/>
    <w:rsid w:val="00F90B01"/>
    <w:rsid w:val="00F91DCD"/>
    <w:rsid w:val="00F92625"/>
    <w:rsid w:val="00F92F30"/>
    <w:rsid w:val="00F931F1"/>
    <w:rsid w:val="00F9463C"/>
    <w:rsid w:val="00F950E4"/>
    <w:rsid w:val="00F96625"/>
    <w:rsid w:val="00F96D46"/>
    <w:rsid w:val="00FA12D5"/>
    <w:rsid w:val="00FA17AB"/>
    <w:rsid w:val="00FA2956"/>
    <w:rsid w:val="00FA5758"/>
    <w:rsid w:val="00FA6BE5"/>
    <w:rsid w:val="00FB01C7"/>
    <w:rsid w:val="00FB0AA2"/>
    <w:rsid w:val="00FB12B3"/>
    <w:rsid w:val="00FB13B8"/>
    <w:rsid w:val="00FB15E4"/>
    <w:rsid w:val="00FB1C0A"/>
    <w:rsid w:val="00FB1E90"/>
    <w:rsid w:val="00FB1FF5"/>
    <w:rsid w:val="00FB205A"/>
    <w:rsid w:val="00FB2754"/>
    <w:rsid w:val="00FB4285"/>
    <w:rsid w:val="00FB4607"/>
    <w:rsid w:val="00FB4BF4"/>
    <w:rsid w:val="00FB6AEA"/>
    <w:rsid w:val="00FB75A2"/>
    <w:rsid w:val="00FC2310"/>
    <w:rsid w:val="00FC2ACD"/>
    <w:rsid w:val="00FC4CFD"/>
    <w:rsid w:val="00FC5BA3"/>
    <w:rsid w:val="00FC5F1D"/>
    <w:rsid w:val="00FC67D3"/>
    <w:rsid w:val="00FC7EEB"/>
    <w:rsid w:val="00FD1D3B"/>
    <w:rsid w:val="00FD1E63"/>
    <w:rsid w:val="00FD207B"/>
    <w:rsid w:val="00FD208C"/>
    <w:rsid w:val="00FD4496"/>
    <w:rsid w:val="00FD599B"/>
    <w:rsid w:val="00FD5E15"/>
    <w:rsid w:val="00FD6982"/>
    <w:rsid w:val="00FD77BC"/>
    <w:rsid w:val="00FD7EAD"/>
    <w:rsid w:val="00FE08F9"/>
    <w:rsid w:val="00FE1011"/>
    <w:rsid w:val="00FE1073"/>
    <w:rsid w:val="00FE25C8"/>
    <w:rsid w:val="00FE2ABB"/>
    <w:rsid w:val="00FE2F39"/>
    <w:rsid w:val="00FE2F46"/>
    <w:rsid w:val="00FE32EC"/>
    <w:rsid w:val="00FE4EC0"/>
    <w:rsid w:val="00FE5A4B"/>
    <w:rsid w:val="00FF1B72"/>
    <w:rsid w:val="00FF1D34"/>
    <w:rsid w:val="00FF2D1A"/>
    <w:rsid w:val="00FF2FA5"/>
    <w:rsid w:val="00FF3900"/>
    <w:rsid w:val="00FF5073"/>
    <w:rsid w:val="00FF63E4"/>
    <w:rsid w:val="00FF691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678E"/>
    <w:pPr>
      <w:spacing w:before="120" w:after="320"/>
    </w:pPr>
    <w:rPr>
      <w:rFonts w:ascii="Arial" w:hAnsi="Arial"/>
      <w:sz w:val="24"/>
    </w:rPr>
  </w:style>
  <w:style w:type="paragraph" w:styleId="Heading1">
    <w:name w:val="heading 1"/>
    <w:basedOn w:val="Normal"/>
    <w:next w:val="Normal"/>
    <w:link w:val="Heading1Char"/>
    <w:autoRedefine/>
    <w:uiPriority w:val="9"/>
    <w:qFormat/>
    <w:rsid w:val="000D0FA0"/>
    <w:pPr>
      <w:spacing w:before="0" w:after="120" w:line="360" w:lineRule="auto"/>
      <w:contextualSpacing/>
      <w:outlineLvl w:val="0"/>
    </w:pPr>
    <w:rPr>
      <w:rFonts w:eastAsiaTheme="majorEastAsia" w:cs="Arial"/>
      <w:b/>
      <w:bCs/>
      <w:sz w:val="44"/>
      <w:szCs w:val="24"/>
    </w:rPr>
  </w:style>
  <w:style w:type="paragraph" w:styleId="Heading2">
    <w:name w:val="heading 2"/>
    <w:basedOn w:val="Normal"/>
    <w:next w:val="Normal"/>
    <w:link w:val="Heading2Char"/>
    <w:uiPriority w:val="9"/>
    <w:unhideWhenUsed/>
    <w:qFormat/>
    <w:rsid w:val="00D0678E"/>
    <w:pPr>
      <w:spacing w:before="440" w:after="240"/>
      <w:outlineLvl w:val="1"/>
    </w:pPr>
    <w:rPr>
      <w:rFonts w:eastAsiaTheme="majorEastAsia" w:cstheme="majorBidi"/>
      <w:bCs/>
      <w:sz w:val="36"/>
      <w:szCs w:val="26"/>
    </w:rPr>
  </w:style>
  <w:style w:type="paragraph" w:styleId="Heading3">
    <w:name w:val="heading 3"/>
    <w:basedOn w:val="Normal"/>
    <w:next w:val="Normal"/>
    <w:link w:val="Heading3Char"/>
    <w:uiPriority w:val="9"/>
    <w:unhideWhenUsed/>
    <w:qFormat/>
    <w:rsid w:val="00CF72AA"/>
    <w:pPr>
      <w:spacing w:before="200" w:after="0" w:line="271" w:lineRule="auto"/>
      <w:outlineLvl w:val="2"/>
    </w:pPr>
    <w:rPr>
      <w:rFonts w:eastAsiaTheme="majorEastAsia" w:cstheme="majorBidi"/>
      <w:b/>
      <w:bCs/>
      <w:sz w:val="28"/>
    </w:rPr>
  </w:style>
  <w:style w:type="paragraph" w:styleId="Heading4">
    <w:name w:val="heading 4"/>
    <w:basedOn w:val="Normal"/>
    <w:next w:val="Normal"/>
    <w:link w:val="Heading4Char"/>
    <w:uiPriority w:val="9"/>
    <w:unhideWhenUsed/>
    <w:qFormat/>
    <w:rsid w:val="000E20CE"/>
    <w:pPr>
      <w:spacing w:before="200" w:after="0"/>
      <w:outlineLvl w:val="3"/>
    </w:pPr>
    <w:rPr>
      <w:rFonts w:eastAsiaTheme="majorEastAsia" w:cstheme="majorBidi"/>
      <w:b/>
      <w:bCs/>
      <w:iCs/>
    </w:rPr>
  </w:style>
  <w:style w:type="paragraph" w:styleId="Heading5">
    <w:name w:val="heading 5"/>
    <w:basedOn w:val="Normal"/>
    <w:next w:val="Normal"/>
    <w:link w:val="Heading5Char"/>
    <w:uiPriority w:val="9"/>
    <w:semiHidden/>
    <w:unhideWhenUsed/>
    <w:qFormat/>
    <w:rsid w:val="009E6E65"/>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9E6E65"/>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9E6E65"/>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9E6E65"/>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9E6E65"/>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0FA0"/>
    <w:rPr>
      <w:rFonts w:ascii="Arial" w:eastAsiaTheme="majorEastAsia" w:hAnsi="Arial" w:cs="Arial"/>
      <w:b/>
      <w:bCs/>
      <w:sz w:val="44"/>
      <w:szCs w:val="24"/>
    </w:rPr>
  </w:style>
  <w:style w:type="character" w:customStyle="1" w:styleId="Heading2Char">
    <w:name w:val="Heading 2 Char"/>
    <w:basedOn w:val="DefaultParagraphFont"/>
    <w:link w:val="Heading2"/>
    <w:uiPriority w:val="9"/>
    <w:rsid w:val="00D0678E"/>
    <w:rPr>
      <w:rFonts w:ascii="Arial" w:eastAsiaTheme="majorEastAsia" w:hAnsi="Arial" w:cstheme="majorBidi"/>
      <w:bCs/>
      <w:sz w:val="36"/>
      <w:szCs w:val="26"/>
    </w:rPr>
  </w:style>
  <w:style w:type="paragraph" w:styleId="Title">
    <w:name w:val="Title"/>
    <w:basedOn w:val="Normal"/>
    <w:next w:val="Normal"/>
    <w:link w:val="TitleChar"/>
    <w:uiPriority w:val="10"/>
    <w:qFormat/>
    <w:rsid w:val="009E6E65"/>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9E6E65"/>
    <w:rPr>
      <w:rFonts w:asciiTheme="majorHAnsi" w:eastAsiaTheme="majorEastAsia" w:hAnsiTheme="majorHAnsi" w:cstheme="majorBidi"/>
      <w:spacing w:val="5"/>
      <w:sz w:val="52"/>
      <w:szCs w:val="52"/>
    </w:rPr>
  </w:style>
  <w:style w:type="character" w:customStyle="1" w:styleId="apple-converted-space">
    <w:name w:val="apple-converted-space"/>
    <w:basedOn w:val="DefaultParagraphFont"/>
    <w:rsid w:val="007647F4"/>
  </w:style>
  <w:style w:type="character" w:styleId="Hyperlink">
    <w:name w:val="Hyperlink"/>
    <w:basedOn w:val="DefaultParagraphFont"/>
    <w:uiPriority w:val="99"/>
    <w:unhideWhenUsed/>
    <w:rsid w:val="005C51B7"/>
    <w:rPr>
      <w:color w:val="0000FF"/>
      <w:u w:val="single"/>
    </w:rPr>
  </w:style>
  <w:style w:type="paragraph" w:styleId="NormalWeb">
    <w:name w:val="Normal (Web)"/>
    <w:basedOn w:val="Normal"/>
    <w:uiPriority w:val="99"/>
    <w:unhideWhenUsed/>
    <w:rsid w:val="00BB1D06"/>
    <w:pPr>
      <w:spacing w:after="225" w:line="270" w:lineRule="atLeast"/>
    </w:pPr>
    <w:rPr>
      <w:rFonts w:ascii="Times New Roman" w:hAnsi="Times New Roman" w:cs="Times New Roman"/>
      <w:sz w:val="18"/>
      <w:szCs w:val="18"/>
    </w:rPr>
  </w:style>
  <w:style w:type="character" w:styleId="Strong">
    <w:name w:val="Strong"/>
    <w:uiPriority w:val="22"/>
    <w:qFormat/>
    <w:rsid w:val="009E6E65"/>
    <w:rPr>
      <w:b/>
      <w:bCs/>
    </w:rPr>
  </w:style>
  <w:style w:type="character" w:customStyle="1" w:styleId="Heading3Char">
    <w:name w:val="Heading 3 Char"/>
    <w:basedOn w:val="DefaultParagraphFont"/>
    <w:link w:val="Heading3"/>
    <w:uiPriority w:val="9"/>
    <w:rsid w:val="00CF72AA"/>
    <w:rPr>
      <w:rFonts w:ascii="Arial" w:eastAsiaTheme="majorEastAsia" w:hAnsi="Arial" w:cstheme="majorBidi"/>
      <w:b/>
      <w:bCs/>
      <w:sz w:val="28"/>
    </w:rPr>
  </w:style>
  <w:style w:type="character" w:customStyle="1" w:styleId="date-display-single">
    <w:name w:val="date-display-single"/>
    <w:basedOn w:val="DefaultParagraphFont"/>
    <w:rsid w:val="00BB1D06"/>
  </w:style>
  <w:style w:type="character" w:customStyle="1" w:styleId="Date1">
    <w:name w:val="Date1"/>
    <w:basedOn w:val="DefaultParagraphFont"/>
    <w:rsid w:val="000E35F1"/>
  </w:style>
  <w:style w:type="character" w:customStyle="1" w:styleId="Date2">
    <w:name w:val="Date2"/>
    <w:basedOn w:val="DefaultParagraphFont"/>
    <w:rsid w:val="00D1708F"/>
  </w:style>
  <w:style w:type="character" w:styleId="FollowedHyperlink">
    <w:name w:val="FollowedHyperlink"/>
    <w:basedOn w:val="DefaultParagraphFont"/>
    <w:uiPriority w:val="99"/>
    <w:semiHidden/>
    <w:unhideWhenUsed/>
    <w:rsid w:val="00C711C7"/>
    <w:rPr>
      <w:color w:val="800080" w:themeColor="followedHyperlink"/>
      <w:u w:val="single"/>
    </w:rPr>
  </w:style>
  <w:style w:type="character" w:customStyle="1" w:styleId="mc-toc-title">
    <w:name w:val="mc-toc-title"/>
    <w:basedOn w:val="DefaultParagraphFont"/>
    <w:rsid w:val="00D56849"/>
  </w:style>
  <w:style w:type="character" w:styleId="Emphasis">
    <w:name w:val="Emphasis"/>
    <w:uiPriority w:val="20"/>
    <w:qFormat/>
    <w:rsid w:val="009E6E65"/>
    <w:rPr>
      <w:b/>
      <w:bCs/>
      <w:i/>
      <w:iCs/>
      <w:spacing w:val="10"/>
      <w:bdr w:val="none" w:sz="0" w:space="0" w:color="auto"/>
      <w:shd w:val="clear" w:color="auto" w:fill="auto"/>
    </w:rPr>
  </w:style>
  <w:style w:type="character" w:customStyle="1" w:styleId="Heading4Char">
    <w:name w:val="Heading 4 Char"/>
    <w:basedOn w:val="DefaultParagraphFont"/>
    <w:link w:val="Heading4"/>
    <w:uiPriority w:val="9"/>
    <w:rsid w:val="000E20CE"/>
    <w:rPr>
      <w:rFonts w:ascii="Arial" w:eastAsiaTheme="majorEastAsia" w:hAnsi="Arial" w:cstheme="majorBidi"/>
      <w:b/>
      <w:bCs/>
      <w:iCs/>
      <w:sz w:val="24"/>
    </w:rPr>
  </w:style>
  <w:style w:type="paragraph" w:customStyle="1" w:styleId="author">
    <w:name w:val="author"/>
    <w:basedOn w:val="Normal"/>
    <w:rsid w:val="0013613B"/>
    <w:pPr>
      <w:spacing w:after="0" w:line="270" w:lineRule="atLeast"/>
    </w:pPr>
    <w:rPr>
      <w:rFonts w:ascii="Helvetica" w:hAnsi="Helvetica" w:cs="Times New Roman"/>
      <w:color w:val="999999"/>
      <w:sz w:val="17"/>
      <w:szCs w:val="17"/>
    </w:rPr>
  </w:style>
  <w:style w:type="character" w:styleId="CommentReference">
    <w:name w:val="annotation reference"/>
    <w:basedOn w:val="DefaultParagraphFont"/>
    <w:uiPriority w:val="99"/>
    <w:semiHidden/>
    <w:unhideWhenUsed/>
    <w:rsid w:val="007B3413"/>
    <w:rPr>
      <w:sz w:val="16"/>
      <w:szCs w:val="16"/>
    </w:rPr>
  </w:style>
  <w:style w:type="paragraph" w:styleId="CommentText">
    <w:name w:val="annotation text"/>
    <w:basedOn w:val="Normal"/>
    <w:link w:val="CommentTextChar"/>
    <w:uiPriority w:val="99"/>
    <w:semiHidden/>
    <w:unhideWhenUsed/>
    <w:rsid w:val="007B3413"/>
    <w:rPr>
      <w:sz w:val="20"/>
      <w:szCs w:val="20"/>
    </w:rPr>
  </w:style>
  <w:style w:type="character" w:customStyle="1" w:styleId="CommentTextChar">
    <w:name w:val="Comment Text Char"/>
    <w:basedOn w:val="DefaultParagraphFont"/>
    <w:link w:val="CommentText"/>
    <w:uiPriority w:val="99"/>
    <w:semiHidden/>
    <w:rsid w:val="007B3413"/>
    <w:rPr>
      <w:rFonts w:cs="Arial"/>
      <w:sz w:val="20"/>
      <w:szCs w:val="20"/>
      <w:lang w:eastAsia="en-AU"/>
    </w:rPr>
  </w:style>
  <w:style w:type="paragraph" w:styleId="CommentSubject">
    <w:name w:val="annotation subject"/>
    <w:basedOn w:val="CommentText"/>
    <w:next w:val="CommentText"/>
    <w:link w:val="CommentSubjectChar"/>
    <w:uiPriority w:val="99"/>
    <w:semiHidden/>
    <w:unhideWhenUsed/>
    <w:rsid w:val="007B3413"/>
    <w:rPr>
      <w:b/>
      <w:bCs/>
    </w:rPr>
  </w:style>
  <w:style w:type="character" w:customStyle="1" w:styleId="CommentSubjectChar">
    <w:name w:val="Comment Subject Char"/>
    <w:basedOn w:val="CommentTextChar"/>
    <w:link w:val="CommentSubject"/>
    <w:uiPriority w:val="99"/>
    <w:semiHidden/>
    <w:rsid w:val="007B3413"/>
    <w:rPr>
      <w:rFonts w:cs="Arial"/>
      <w:b/>
      <w:bCs/>
      <w:sz w:val="20"/>
      <w:szCs w:val="20"/>
      <w:lang w:eastAsia="en-AU"/>
    </w:rPr>
  </w:style>
  <w:style w:type="paragraph" w:styleId="BalloonText">
    <w:name w:val="Balloon Text"/>
    <w:basedOn w:val="Normal"/>
    <w:link w:val="BalloonTextChar"/>
    <w:uiPriority w:val="99"/>
    <w:semiHidden/>
    <w:unhideWhenUsed/>
    <w:rsid w:val="007B341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3413"/>
    <w:rPr>
      <w:rFonts w:ascii="Tahoma" w:hAnsi="Tahoma" w:cs="Tahoma"/>
      <w:sz w:val="16"/>
      <w:szCs w:val="16"/>
      <w:lang w:eastAsia="en-AU"/>
    </w:rPr>
  </w:style>
  <w:style w:type="paragraph" w:styleId="ListParagraph">
    <w:name w:val="List Paragraph"/>
    <w:basedOn w:val="Normal"/>
    <w:uiPriority w:val="34"/>
    <w:qFormat/>
    <w:rsid w:val="009E6E65"/>
    <w:pPr>
      <w:ind w:left="720"/>
      <w:contextualSpacing/>
    </w:pPr>
  </w:style>
  <w:style w:type="paragraph" w:customStyle="1" w:styleId="Default">
    <w:name w:val="Default"/>
    <w:rsid w:val="00687191"/>
    <w:pPr>
      <w:autoSpaceDE w:val="0"/>
      <w:autoSpaceDN w:val="0"/>
      <w:adjustRightInd w:val="0"/>
      <w:spacing w:after="0" w:line="240" w:lineRule="auto"/>
    </w:pPr>
    <w:rPr>
      <w:rFonts w:ascii="Arial" w:hAnsi="Arial" w:cs="Arial"/>
      <w:color w:val="000000"/>
      <w:sz w:val="24"/>
      <w:szCs w:val="24"/>
    </w:rPr>
  </w:style>
  <w:style w:type="character" w:customStyle="1" w:styleId="medium-normal">
    <w:name w:val="medium-normal"/>
    <w:basedOn w:val="DefaultParagraphFont"/>
    <w:rsid w:val="002E5388"/>
  </w:style>
  <w:style w:type="character" w:styleId="HTMLCite">
    <w:name w:val="HTML Cite"/>
    <w:basedOn w:val="DefaultParagraphFont"/>
    <w:uiPriority w:val="99"/>
    <w:semiHidden/>
    <w:unhideWhenUsed/>
    <w:rsid w:val="002E5388"/>
    <w:rPr>
      <w:i/>
      <w:iCs/>
    </w:rPr>
  </w:style>
  <w:style w:type="character" w:customStyle="1" w:styleId="medium-bold">
    <w:name w:val="medium-bold"/>
    <w:basedOn w:val="DefaultParagraphFont"/>
    <w:rsid w:val="002E5388"/>
  </w:style>
  <w:style w:type="paragraph" w:styleId="Subtitle">
    <w:name w:val="Subtitle"/>
    <w:basedOn w:val="Normal"/>
    <w:next w:val="Normal"/>
    <w:link w:val="SubtitleChar"/>
    <w:uiPriority w:val="11"/>
    <w:qFormat/>
    <w:rsid w:val="009175ED"/>
    <w:pPr>
      <w:spacing w:after="600"/>
    </w:pPr>
    <w:rPr>
      <w:rFonts w:eastAsiaTheme="majorEastAsia" w:cstheme="majorBidi"/>
      <w:iCs/>
      <w:spacing w:val="13"/>
      <w:sz w:val="32"/>
      <w:szCs w:val="24"/>
    </w:rPr>
  </w:style>
  <w:style w:type="character" w:customStyle="1" w:styleId="SubtitleChar">
    <w:name w:val="Subtitle Char"/>
    <w:basedOn w:val="DefaultParagraphFont"/>
    <w:link w:val="Subtitle"/>
    <w:uiPriority w:val="11"/>
    <w:rsid w:val="009175ED"/>
    <w:rPr>
      <w:rFonts w:ascii="Arial" w:eastAsiaTheme="majorEastAsia" w:hAnsi="Arial" w:cstheme="majorBidi"/>
      <w:iCs/>
      <w:spacing w:val="13"/>
      <w:sz w:val="32"/>
      <w:szCs w:val="24"/>
    </w:rPr>
  </w:style>
  <w:style w:type="paragraph" w:styleId="Header">
    <w:name w:val="header"/>
    <w:basedOn w:val="Normal"/>
    <w:link w:val="HeaderChar"/>
    <w:uiPriority w:val="99"/>
    <w:unhideWhenUsed/>
    <w:rsid w:val="000278D7"/>
    <w:pPr>
      <w:tabs>
        <w:tab w:val="center" w:pos="4513"/>
        <w:tab w:val="right" w:pos="9026"/>
      </w:tabs>
      <w:spacing w:after="0"/>
    </w:pPr>
  </w:style>
  <w:style w:type="character" w:customStyle="1" w:styleId="HeaderChar">
    <w:name w:val="Header Char"/>
    <w:basedOn w:val="DefaultParagraphFont"/>
    <w:link w:val="Header"/>
    <w:uiPriority w:val="99"/>
    <w:rsid w:val="000278D7"/>
    <w:rPr>
      <w:rFonts w:cs="Arial"/>
      <w:sz w:val="24"/>
      <w:szCs w:val="24"/>
      <w:lang w:eastAsia="en-AU"/>
    </w:rPr>
  </w:style>
  <w:style w:type="paragraph" w:styleId="Footer">
    <w:name w:val="footer"/>
    <w:basedOn w:val="Normal"/>
    <w:link w:val="FooterChar"/>
    <w:uiPriority w:val="99"/>
    <w:unhideWhenUsed/>
    <w:rsid w:val="000278D7"/>
    <w:pPr>
      <w:tabs>
        <w:tab w:val="center" w:pos="4513"/>
        <w:tab w:val="right" w:pos="9026"/>
      </w:tabs>
      <w:spacing w:after="0"/>
    </w:pPr>
  </w:style>
  <w:style w:type="character" w:customStyle="1" w:styleId="FooterChar">
    <w:name w:val="Footer Char"/>
    <w:basedOn w:val="DefaultParagraphFont"/>
    <w:link w:val="Footer"/>
    <w:uiPriority w:val="99"/>
    <w:rsid w:val="000278D7"/>
    <w:rPr>
      <w:rFonts w:cs="Arial"/>
      <w:sz w:val="24"/>
      <w:szCs w:val="24"/>
      <w:lang w:eastAsia="en-AU"/>
    </w:rPr>
  </w:style>
  <w:style w:type="paragraph" w:styleId="FootnoteText">
    <w:name w:val="footnote text"/>
    <w:basedOn w:val="Normal"/>
    <w:link w:val="FootnoteTextChar"/>
    <w:uiPriority w:val="99"/>
    <w:semiHidden/>
    <w:unhideWhenUsed/>
    <w:rsid w:val="000E3D30"/>
    <w:pPr>
      <w:spacing w:after="0"/>
    </w:pPr>
    <w:rPr>
      <w:sz w:val="20"/>
      <w:szCs w:val="20"/>
    </w:rPr>
  </w:style>
  <w:style w:type="character" w:customStyle="1" w:styleId="FootnoteTextChar">
    <w:name w:val="Footnote Text Char"/>
    <w:basedOn w:val="DefaultParagraphFont"/>
    <w:link w:val="FootnoteText"/>
    <w:uiPriority w:val="99"/>
    <w:semiHidden/>
    <w:rsid w:val="000E3D30"/>
    <w:rPr>
      <w:rFonts w:cs="Arial"/>
      <w:sz w:val="20"/>
      <w:szCs w:val="20"/>
      <w:lang w:eastAsia="en-AU"/>
    </w:rPr>
  </w:style>
  <w:style w:type="character" w:styleId="FootnoteReference">
    <w:name w:val="footnote reference"/>
    <w:basedOn w:val="DefaultParagraphFont"/>
    <w:uiPriority w:val="99"/>
    <w:semiHidden/>
    <w:unhideWhenUsed/>
    <w:rsid w:val="000E3D30"/>
    <w:rPr>
      <w:vertAlign w:val="superscript"/>
    </w:rPr>
  </w:style>
  <w:style w:type="character" w:customStyle="1" w:styleId="Heading5Char">
    <w:name w:val="Heading 5 Char"/>
    <w:basedOn w:val="DefaultParagraphFont"/>
    <w:link w:val="Heading5"/>
    <w:uiPriority w:val="9"/>
    <w:semiHidden/>
    <w:rsid w:val="009E6E65"/>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9E6E65"/>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9E6E65"/>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9E6E65"/>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9E6E65"/>
    <w:rPr>
      <w:rFonts w:asciiTheme="majorHAnsi" w:eastAsiaTheme="majorEastAsia" w:hAnsiTheme="majorHAnsi" w:cstheme="majorBidi"/>
      <w:i/>
      <w:iCs/>
      <w:spacing w:val="5"/>
      <w:sz w:val="20"/>
      <w:szCs w:val="20"/>
    </w:rPr>
  </w:style>
  <w:style w:type="paragraph" w:styleId="NoSpacing">
    <w:name w:val="No Spacing"/>
    <w:basedOn w:val="Normal"/>
    <w:uiPriority w:val="1"/>
    <w:qFormat/>
    <w:rsid w:val="009E6E65"/>
    <w:pPr>
      <w:spacing w:after="0" w:line="240" w:lineRule="auto"/>
    </w:pPr>
  </w:style>
  <w:style w:type="paragraph" w:styleId="Quote">
    <w:name w:val="Quote"/>
    <w:basedOn w:val="Normal"/>
    <w:next w:val="Normal"/>
    <w:link w:val="QuoteChar"/>
    <w:uiPriority w:val="29"/>
    <w:qFormat/>
    <w:rsid w:val="009E6E65"/>
    <w:pPr>
      <w:spacing w:before="200" w:after="0"/>
      <w:ind w:left="360" w:right="360"/>
    </w:pPr>
    <w:rPr>
      <w:i/>
      <w:iCs/>
    </w:rPr>
  </w:style>
  <w:style w:type="character" w:customStyle="1" w:styleId="QuoteChar">
    <w:name w:val="Quote Char"/>
    <w:basedOn w:val="DefaultParagraphFont"/>
    <w:link w:val="Quote"/>
    <w:uiPriority w:val="29"/>
    <w:rsid w:val="009E6E65"/>
    <w:rPr>
      <w:i/>
      <w:iCs/>
    </w:rPr>
  </w:style>
  <w:style w:type="paragraph" w:styleId="IntenseQuote">
    <w:name w:val="Intense Quote"/>
    <w:basedOn w:val="Normal"/>
    <w:next w:val="Normal"/>
    <w:link w:val="IntenseQuoteChar"/>
    <w:uiPriority w:val="30"/>
    <w:qFormat/>
    <w:rsid w:val="009E6E65"/>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E6E65"/>
    <w:rPr>
      <w:b/>
      <w:bCs/>
      <w:i/>
      <w:iCs/>
    </w:rPr>
  </w:style>
  <w:style w:type="character" w:styleId="SubtleEmphasis">
    <w:name w:val="Subtle Emphasis"/>
    <w:uiPriority w:val="19"/>
    <w:qFormat/>
    <w:rsid w:val="009E6E65"/>
    <w:rPr>
      <w:i/>
      <w:iCs/>
    </w:rPr>
  </w:style>
  <w:style w:type="character" w:styleId="IntenseEmphasis">
    <w:name w:val="Intense Emphasis"/>
    <w:uiPriority w:val="21"/>
    <w:qFormat/>
    <w:rsid w:val="009E6E65"/>
    <w:rPr>
      <w:b/>
      <w:bCs/>
    </w:rPr>
  </w:style>
  <w:style w:type="character" w:styleId="SubtleReference">
    <w:name w:val="Subtle Reference"/>
    <w:uiPriority w:val="31"/>
    <w:qFormat/>
    <w:rsid w:val="009E6E65"/>
    <w:rPr>
      <w:smallCaps/>
    </w:rPr>
  </w:style>
  <w:style w:type="character" w:styleId="IntenseReference">
    <w:name w:val="Intense Reference"/>
    <w:uiPriority w:val="32"/>
    <w:qFormat/>
    <w:rsid w:val="009E6E65"/>
    <w:rPr>
      <w:smallCaps/>
      <w:spacing w:val="5"/>
      <w:u w:val="single"/>
    </w:rPr>
  </w:style>
  <w:style w:type="character" w:styleId="BookTitle">
    <w:name w:val="Book Title"/>
    <w:uiPriority w:val="33"/>
    <w:qFormat/>
    <w:rsid w:val="009E6E65"/>
    <w:rPr>
      <w:i/>
      <w:iCs/>
      <w:smallCaps/>
      <w:spacing w:val="5"/>
    </w:rPr>
  </w:style>
  <w:style w:type="paragraph" w:styleId="TOCHeading">
    <w:name w:val="TOC Heading"/>
    <w:basedOn w:val="Heading1"/>
    <w:next w:val="Normal"/>
    <w:uiPriority w:val="39"/>
    <w:semiHidden/>
    <w:unhideWhenUsed/>
    <w:qFormat/>
    <w:rsid w:val="009E6E65"/>
    <w:pPr>
      <w:outlineLvl w:val="9"/>
    </w:pPr>
    <w:rPr>
      <w:lang w:bidi="en-US"/>
    </w:rPr>
  </w:style>
  <w:style w:type="paragraph" w:customStyle="1" w:styleId="BasicParagraph">
    <w:name w:val="[Basic Paragraph]"/>
    <w:basedOn w:val="Normal"/>
    <w:uiPriority w:val="99"/>
    <w:rsid w:val="008D6F88"/>
    <w:pPr>
      <w:autoSpaceDE w:val="0"/>
      <w:autoSpaceDN w:val="0"/>
      <w:adjustRightInd w:val="0"/>
      <w:spacing w:before="0" w:after="0" w:line="288" w:lineRule="auto"/>
      <w:textAlignment w:val="center"/>
    </w:pPr>
    <w:rPr>
      <w:rFonts w:ascii="Minion Pro" w:hAnsi="Minion Pro" w:cs="Minion Pro"/>
      <w:color w:val="000000"/>
      <w:szCs w:val="24"/>
      <w:lang w:val="en-GB"/>
    </w:rPr>
  </w:style>
  <w:style w:type="paragraph" w:styleId="TOC1">
    <w:name w:val="toc 1"/>
    <w:basedOn w:val="Normal"/>
    <w:next w:val="Normal"/>
    <w:autoRedefine/>
    <w:uiPriority w:val="39"/>
    <w:unhideWhenUsed/>
    <w:rsid w:val="00F00786"/>
    <w:pPr>
      <w:spacing w:after="100"/>
    </w:pPr>
  </w:style>
  <w:style w:type="paragraph" w:styleId="TOC2">
    <w:name w:val="toc 2"/>
    <w:basedOn w:val="Normal"/>
    <w:next w:val="Normal"/>
    <w:autoRedefine/>
    <w:uiPriority w:val="39"/>
    <w:unhideWhenUsed/>
    <w:rsid w:val="00F00786"/>
    <w:pPr>
      <w:spacing w:after="100"/>
      <w:ind w:left="240"/>
    </w:pPr>
  </w:style>
  <w:style w:type="paragraph" w:styleId="TOC3">
    <w:name w:val="toc 3"/>
    <w:basedOn w:val="Normal"/>
    <w:next w:val="Normal"/>
    <w:autoRedefine/>
    <w:uiPriority w:val="39"/>
    <w:unhideWhenUsed/>
    <w:rsid w:val="00F00786"/>
    <w:pPr>
      <w:spacing w:after="100"/>
      <w:ind w:left="480"/>
    </w:pPr>
  </w:style>
  <w:style w:type="paragraph" w:styleId="BodyText">
    <w:name w:val="Body Text"/>
    <w:basedOn w:val="Normal"/>
    <w:link w:val="BodyTextChar"/>
    <w:uiPriority w:val="99"/>
    <w:rsid w:val="00F00786"/>
    <w:pPr>
      <w:tabs>
        <w:tab w:val="left" w:pos="283"/>
        <w:tab w:val="left" w:pos="624"/>
      </w:tabs>
      <w:suppressAutoHyphens/>
      <w:autoSpaceDE w:val="0"/>
      <w:autoSpaceDN w:val="0"/>
      <w:adjustRightInd w:val="0"/>
      <w:spacing w:before="0" w:after="0" w:line="300" w:lineRule="atLeast"/>
      <w:textAlignment w:val="center"/>
    </w:pPr>
    <w:rPr>
      <w:rFonts w:ascii="HelveticaNeue LightCond" w:hAnsi="HelveticaNeue LightCond" w:cs="HelveticaNeue LightCond"/>
      <w:color w:val="504B8E"/>
      <w:szCs w:val="24"/>
      <w:lang w:val="en-GB"/>
    </w:rPr>
  </w:style>
  <w:style w:type="character" w:customStyle="1" w:styleId="BodyTextChar">
    <w:name w:val="Body Text Char"/>
    <w:basedOn w:val="DefaultParagraphFont"/>
    <w:link w:val="BodyText"/>
    <w:uiPriority w:val="99"/>
    <w:rsid w:val="00F00786"/>
    <w:rPr>
      <w:rFonts w:ascii="HelveticaNeue LightCond" w:hAnsi="HelveticaNeue LightCond" w:cs="HelveticaNeue LightCond"/>
      <w:color w:val="504B8E"/>
      <w:sz w:val="24"/>
      <w:szCs w:val="24"/>
      <w:lang w:val="en-GB"/>
    </w:rPr>
  </w:style>
  <w:style w:type="character" w:customStyle="1" w:styleId="Answertextfont">
    <w:name w:val="Answer text font"/>
    <w:rsid w:val="00F00786"/>
    <w:rPr>
      <w:sz w:val="20"/>
      <w:szCs w:val="20"/>
    </w:rPr>
  </w:style>
  <w:style w:type="paragraph" w:styleId="Caption">
    <w:name w:val="caption"/>
    <w:basedOn w:val="Normal"/>
    <w:next w:val="Normal"/>
    <w:autoRedefine/>
    <w:unhideWhenUsed/>
    <w:qFormat/>
    <w:rsid w:val="00F00786"/>
    <w:pPr>
      <w:keepNext/>
      <w:spacing w:before="0" w:after="0" w:line="240" w:lineRule="auto"/>
      <w:contextualSpacing/>
    </w:pPr>
    <w:rPr>
      <w:rFonts w:eastAsia="Times New Roman" w:cs="Arial"/>
      <w:bCs/>
      <w:szCs w:val="18"/>
      <w:lang w:eastAsia="en-AU"/>
    </w:rPr>
  </w:style>
  <w:style w:type="character" w:customStyle="1" w:styleId="SubHeading1">
    <w:name w:val="Sub Heading 1"/>
    <w:uiPriority w:val="99"/>
    <w:rsid w:val="004B21D9"/>
    <w:rPr>
      <w:rFonts w:ascii="HelveticaNeue Condensed" w:hAnsi="HelveticaNeue Condensed" w:cs="HelveticaNeue Condensed"/>
      <w:b/>
      <w:bCs/>
      <w:color w:val="504B8E"/>
      <w:sz w:val="28"/>
      <w:szCs w:val="28"/>
    </w:rPr>
  </w:style>
  <w:style w:type="paragraph" w:styleId="TOC4">
    <w:name w:val="toc 4"/>
    <w:basedOn w:val="Normal"/>
    <w:next w:val="Normal"/>
    <w:autoRedefine/>
    <w:uiPriority w:val="39"/>
    <w:unhideWhenUsed/>
    <w:rsid w:val="00D520F1"/>
    <w:pPr>
      <w:spacing w:after="100"/>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678E"/>
    <w:pPr>
      <w:spacing w:before="120" w:after="320"/>
    </w:pPr>
    <w:rPr>
      <w:rFonts w:ascii="Arial" w:hAnsi="Arial"/>
      <w:sz w:val="24"/>
    </w:rPr>
  </w:style>
  <w:style w:type="paragraph" w:styleId="Heading1">
    <w:name w:val="heading 1"/>
    <w:basedOn w:val="Normal"/>
    <w:next w:val="Normal"/>
    <w:link w:val="Heading1Char"/>
    <w:autoRedefine/>
    <w:uiPriority w:val="9"/>
    <w:qFormat/>
    <w:rsid w:val="000D0FA0"/>
    <w:pPr>
      <w:spacing w:before="0" w:after="120" w:line="360" w:lineRule="auto"/>
      <w:contextualSpacing/>
      <w:outlineLvl w:val="0"/>
    </w:pPr>
    <w:rPr>
      <w:rFonts w:eastAsiaTheme="majorEastAsia" w:cs="Arial"/>
      <w:b/>
      <w:bCs/>
      <w:sz w:val="44"/>
      <w:szCs w:val="24"/>
    </w:rPr>
  </w:style>
  <w:style w:type="paragraph" w:styleId="Heading2">
    <w:name w:val="heading 2"/>
    <w:basedOn w:val="Normal"/>
    <w:next w:val="Normal"/>
    <w:link w:val="Heading2Char"/>
    <w:uiPriority w:val="9"/>
    <w:unhideWhenUsed/>
    <w:qFormat/>
    <w:rsid w:val="00D0678E"/>
    <w:pPr>
      <w:spacing w:before="440" w:after="240"/>
      <w:outlineLvl w:val="1"/>
    </w:pPr>
    <w:rPr>
      <w:rFonts w:eastAsiaTheme="majorEastAsia" w:cstheme="majorBidi"/>
      <w:bCs/>
      <w:sz w:val="36"/>
      <w:szCs w:val="26"/>
    </w:rPr>
  </w:style>
  <w:style w:type="paragraph" w:styleId="Heading3">
    <w:name w:val="heading 3"/>
    <w:basedOn w:val="Normal"/>
    <w:next w:val="Normal"/>
    <w:link w:val="Heading3Char"/>
    <w:uiPriority w:val="9"/>
    <w:unhideWhenUsed/>
    <w:qFormat/>
    <w:rsid w:val="00CF72AA"/>
    <w:pPr>
      <w:spacing w:before="200" w:after="0" w:line="271" w:lineRule="auto"/>
      <w:outlineLvl w:val="2"/>
    </w:pPr>
    <w:rPr>
      <w:rFonts w:eastAsiaTheme="majorEastAsia" w:cstheme="majorBidi"/>
      <w:b/>
      <w:bCs/>
      <w:sz w:val="28"/>
    </w:rPr>
  </w:style>
  <w:style w:type="paragraph" w:styleId="Heading4">
    <w:name w:val="heading 4"/>
    <w:basedOn w:val="Normal"/>
    <w:next w:val="Normal"/>
    <w:link w:val="Heading4Char"/>
    <w:uiPriority w:val="9"/>
    <w:unhideWhenUsed/>
    <w:qFormat/>
    <w:rsid w:val="000E20CE"/>
    <w:pPr>
      <w:spacing w:before="200" w:after="0"/>
      <w:outlineLvl w:val="3"/>
    </w:pPr>
    <w:rPr>
      <w:rFonts w:eastAsiaTheme="majorEastAsia" w:cstheme="majorBidi"/>
      <w:b/>
      <w:bCs/>
      <w:iCs/>
    </w:rPr>
  </w:style>
  <w:style w:type="paragraph" w:styleId="Heading5">
    <w:name w:val="heading 5"/>
    <w:basedOn w:val="Normal"/>
    <w:next w:val="Normal"/>
    <w:link w:val="Heading5Char"/>
    <w:uiPriority w:val="9"/>
    <w:semiHidden/>
    <w:unhideWhenUsed/>
    <w:qFormat/>
    <w:rsid w:val="009E6E65"/>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9E6E65"/>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9E6E65"/>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9E6E65"/>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9E6E65"/>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0FA0"/>
    <w:rPr>
      <w:rFonts w:ascii="Arial" w:eastAsiaTheme="majorEastAsia" w:hAnsi="Arial" w:cs="Arial"/>
      <w:b/>
      <w:bCs/>
      <w:sz w:val="44"/>
      <w:szCs w:val="24"/>
    </w:rPr>
  </w:style>
  <w:style w:type="character" w:customStyle="1" w:styleId="Heading2Char">
    <w:name w:val="Heading 2 Char"/>
    <w:basedOn w:val="DefaultParagraphFont"/>
    <w:link w:val="Heading2"/>
    <w:uiPriority w:val="9"/>
    <w:rsid w:val="00D0678E"/>
    <w:rPr>
      <w:rFonts w:ascii="Arial" w:eastAsiaTheme="majorEastAsia" w:hAnsi="Arial" w:cstheme="majorBidi"/>
      <w:bCs/>
      <w:sz w:val="36"/>
      <w:szCs w:val="26"/>
    </w:rPr>
  </w:style>
  <w:style w:type="paragraph" w:styleId="Title">
    <w:name w:val="Title"/>
    <w:basedOn w:val="Normal"/>
    <w:next w:val="Normal"/>
    <w:link w:val="TitleChar"/>
    <w:uiPriority w:val="10"/>
    <w:qFormat/>
    <w:rsid w:val="009E6E65"/>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9E6E65"/>
    <w:rPr>
      <w:rFonts w:asciiTheme="majorHAnsi" w:eastAsiaTheme="majorEastAsia" w:hAnsiTheme="majorHAnsi" w:cstheme="majorBidi"/>
      <w:spacing w:val="5"/>
      <w:sz w:val="52"/>
      <w:szCs w:val="52"/>
    </w:rPr>
  </w:style>
  <w:style w:type="character" w:customStyle="1" w:styleId="apple-converted-space">
    <w:name w:val="apple-converted-space"/>
    <w:basedOn w:val="DefaultParagraphFont"/>
    <w:rsid w:val="007647F4"/>
  </w:style>
  <w:style w:type="character" w:styleId="Hyperlink">
    <w:name w:val="Hyperlink"/>
    <w:basedOn w:val="DefaultParagraphFont"/>
    <w:uiPriority w:val="99"/>
    <w:unhideWhenUsed/>
    <w:rsid w:val="005C51B7"/>
    <w:rPr>
      <w:color w:val="0000FF"/>
      <w:u w:val="single"/>
    </w:rPr>
  </w:style>
  <w:style w:type="paragraph" w:styleId="NormalWeb">
    <w:name w:val="Normal (Web)"/>
    <w:basedOn w:val="Normal"/>
    <w:uiPriority w:val="99"/>
    <w:unhideWhenUsed/>
    <w:rsid w:val="00BB1D06"/>
    <w:pPr>
      <w:spacing w:after="225" w:line="270" w:lineRule="atLeast"/>
    </w:pPr>
    <w:rPr>
      <w:rFonts w:ascii="Times New Roman" w:hAnsi="Times New Roman" w:cs="Times New Roman"/>
      <w:sz w:val="18"/>
      <w:szCs w:val="18"/>
    </w:rPr>
  </w:style>
  <w:style w:type="character" w:styleId="Strong">
    <w:name w:val="Strong"/>
    <w:uiPriority w:val="22"/>
    <w:qFormat/>
    <w:rsid w:val="009E6E65"/>
    <w:rPr>
      <w:b/>
      <w:bCs/>
    </w:rPr>
  </w:style>
  <w:style w:type="character" w:customStyle="1" w:styleId="Heading3Char">
    <w:name w:val="Heading 3 Char"/>
    <w:basedOn w:val="DefaultParagraphFont"/>
    <w:link w:val="Heading3"/>
    <w:uiPriority w:val="9"/>
    <w:rsid w:val="00CF72AA"/>
    <w:rPr>
      <w:rFonts w:ascii="Arial" w:eastAsiaTheme="majorEastAsia" w:hAnsi="Arial" w:cstheme="majorBidi"/>
      <w:b/>
      <w:bCs/>
      <w:sz w:val="28"/>
    </w:rPr>
  </w:style>
  <w:style w:type="character" w:customStyle="1" w:styleId="date-display-single">
    <w:name w:val="date-display-single"/>
    <w:basedOn w:val="DefaultParagraphFont"/>
    <w:rsid w:val="00BB1D06"/>
  </w:style>
  <w:style w:type="character" w:customStyle="1" w:styleId="Date1">
    <w:name w:val="Date1"/>
    <w:basedOn w:val="DefaultParagraphFont"/>
    <w:rsid w:val="000E35F1"/>
  </w:style>
  <w:style w:type="character" w:customStyle="1" w:styleId="Date2">
    <w:name w:val="Date2"/>
    <w:basedOn w:val="DefaultParagraphFont"/>
    <w:rsid w:val="00D1708F"/>
  </w:style>
  <w:style w:type="character" w:styleId="FollowedHyperlink">
    <w:name w:val="FollowedHyperlink"/>
    <w:basedOn w:val="DefaultParagraphFont"/>
    <w:uiPriority w:val="99"/>
    <w:semiHidden/>
    <w:unhideWhenUsed/>
    <w:rsid w:val="00C711C7"/>
    <w:rPr>
      <w:color w:val="800080" w:themeColor="followedHyperlink"/>
      <w:u w:val="single"/>
    </w:rPr>
  </w:style>
  <w:style w:type="character" w:customStyle="1" w:styleId="mc-toc-title">
    <w:name w:val="mc-toc-title"/>
    <w:basedOn w:val="DefaultParagraphFont"/>
    <w:rsid w:val="00D56849"/>
  </w:style>
  <w:style w:type="character" w:styleId="Emphasis">
    <w:name w:val="Emphasis"/>
    <w:uiPriority w:val="20"/>
    <w:qFormat/>
    <w:rsid w:val="009E6E65"/>
    <w:rPr>
      <w:b/>
      <w:bCs/>
      <w:i/>
      <w:iCs/>
      <w:spacing w:val="10"/>
      <w:bdr w:val="none" w:sz="0" w:space="0" w:color="auto"/>
      <w:shd w:val="clear" w:color="auto" w:fill="auto"/>
    </w:rPr>
  </w:style>
  <w:style w:type="character" w:customStyle="1" w:styleId="Heading4Char">
    <w:name w:val="Heading 4 Char"/>
    <w:basedOn w:val="DefaultParagraphFont"/>
    <w:link w:val="Heading4"/>
    <w:uiPriority w:val="9"/>
    <w:rsid w:val="000E20CE"/>
    <w:rPr>
      <w:rFonts w:ascii="Arial" w:eastAsiaTheme="majorEastAsia" w:hAnsi="Arial" w:cstheme="majorBidi"/>
      <w:b/>
      <w:bCs/>
      <w:iCs/>
      <w:sz w:val="24"/>
    </w:rPr>
  </w:style>
  <w:style w:type="paragraph" w:customStyle="1" w:styleId="author">
    <w:name w:val="author"/>
    <w:basedOn w:val="Normal"/>
    <w:rsid w:val="0013613B"/>
    <w:pPr>
      <w:spacing w:after="0" w:line="270" w:lineRule="atLeast"/>
    </w:pPr>
    <w:rPr>
      <w:rFonts w:ascii="Helvetica" w:hAnsi="Helvetica" w:cs="Times New Roman"/>
      <w:color w:val="999999"/>
      <w:sz w:val="17"/>
      <w:szCs w:val="17"/>
    </w:rPr>
  </w:style>
  <w:style w:type="character" w:styleId="CommentReference">
    <w:name w:val="annotation reference"/>
    <w:basedOn w:val="DefaultParagraphFont"/>
    <w:uiPriority w:val="99"/>
    <w:semiHidden/>
    <w:unhideWhenUsed/>
    <w:rsid w:val="007B3413"/>
    <w:rPr>
      <w:sz w:val="16"/>
      <w:szCs w:val="16"/>
    </w:rPr>
  </w:style>
  <w:style w:type="paragraph" w:styleId="CommentText">
    <w:name w:val="annotation text"/>
    <w:basedOn w:val="Normal"/>
    <w:link w:val="CommentTextChar"/>
    <w:uiPriority w:val="99"/>
    <w:semiHidden/>
    <w:unhideWhenUsed/>
    <w:rsid w:val="007B3413"/>
    <w:rPr>
      <w:sz w:val="20"/>
      <w:szCs w:val="20"/>
    </w:rPr>
  </w:style>
  <w:style w:type="character" w:customStyle="1" w:styleId="CommentTextChar">
    <w:name w:val="Comment Text Char"/>
    <w:basedOn w:val="DefaultParagraphFont"/>
    <w:link w:val="CommentText"/>
    <w:uiPriority w:val="99"/>
    <w:semiHidden/>
    <w:rsid w:val="007B3413"/>
    <w:rPr>
      <w:rFonts w:cs="Arial"/>
      <w:sz w:val="20"/>
      <w:szCs w:val="20"/>
      <w:lang w:eastAsia="en-AU"/>
    </w:rPr>
  </w:style>
  <w:style w:type="paragraph" w:styleId="CommentSubject">
    <w:name w:val="annotation subject"/>
    <w:basedOn w:val="CommentText"/>
    <w:next w:val="CommentText"/>
    <w:link w:val="CommentSubjectChar"/>
    <w:uiPriority w:val="99"/>
    <w:semiHidden/>
    <w:unhideWhenUsed/>
    <w:rsid w:val="007B3413"/>
    <w:rPr>
      <w:b/>
      <w:bCs/>
    </w:rPr>
  </w:style>
  <w:style w:type="character" w:customStyle="1" w:styleId="CommentSubjectChar">
    <w:name w:val="Comment Subject Char"/>
    <w:basedOn w:val="CommentTextChar"/>
    <w:link w:val="CommentSubject"/>
    <w:uiPriority w:val="99"/>
    <w:semiHidden/>
    <w:rsid w:val="007B3413"/>
    <w:rPr>
      <w:rFonts w:cs="Arial"/>
      <w:b/>
      <w:bCs/>
      <w:sz w:val="20"/>
      <w:szCs w:val="20"/>
      <w:lang w:eastAsia="en-AU"/>
    </w:rPr>
  </w:style>
  <w:style w:type="paragraph" w:styleId="BalloonText">
    <w:name w:val="Balloon Text"/>
    <w:basedOn w:val="Normal"/>
    <w:link w:val="BalloonTextChar"/>
    <w:uiPriority w:val="99"/>
    <w:semiHidden/>
    <w:unhideWhenUsed/>
    <w:rsid w:val="007B341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3413"/>
    <w:rPr>
      <w:rFonts w:ascii="Tahoma" w:hAnsi="Tahoma" w:cs="Tahoma"/>
      <w:sz w:val="16"/>
      <w:szCs w:val="16"/>
      <w:lang w:eastAsia="en-AU"/>
    </w:rPr>
  </w:style>
  <w:style w:type="paragraph" w:styleId="ListParagraph">
    <w:name w:val="List Paragraph"/>
    <w:basedOn w:val="Normal"/>
    <w:uiPriority w:val="34"/>
    <w:qFormat/>
    <w:rsid w:val="009E6E65"/>
    <w:pPr>
      <w:ind w:left="720"/>
      <w:contextualSpacing/>
    </w:pPr>
  </w:style>
  <w:style w:type="paragraph" w:customStyle="1" w:styleId="Default">
    <w:name w:val="Default"/>
    <w:rsid w:val="00687191"/>
    <w:pPr>
      <w:autoSpaceDE w:val="0"/>
      <w:autoSpaceDN w:val="0"/>
      <w:adjustRightInd w:val="0"/>
      <w:spacing w:after="0" w:line="240" w:lineRule="auto"/>
    </w:pPr>
    <w:rPr>
      <w:rFonts w:ascii="Arial" w:hAnsi="Arial" w:cs="Arial"/>
      <w:color w:val="000000"/>
      <w:sz w:val="24"/>
      <w:szCs w:val="24"/>
    </w:rPr>
  </w:style>
  <w:style w:type="character" w:customStyle="1" w:styleId="medium-normal">
    <w:name w:val="medium-normal"/>
    <w:basedOn w:val="DefaultParagraphFont"/>
    <w:rsid w:val="002E5388"/>
  </w:style>
  <w:style w:type="character" w:styleId="HTMLCite">
    <w:name w:val="HTML Cite"/>
    <w:basedOn w:val="DefaultParagraphFont"/>
    <w:uiPriority w:val="99"/>
    <w:semiHidden/>
    <w:unhideWhenUsed/>
    <w:rsid w:val="002E5388"/>
    <w:rPr>
      <w:i/>
      <w:iCs/>
    </w:rPr>
  </w:style>
  <w:style w:type="character" w:customStyle="1" w:styleId="medium-bold">
    <w:name w:val="medium-bold"/>
    <w:basedOn w:val="DefaultParagraphFont"/>
    <w:rsid w:val="002E5388"/>
  </w:style>
  <w:style w:type="paragraph" w:styleId="Subtitle">
    <w:name w:val="Subtitle"/>
    <w:basedOn w:val="Normal"/>
    <w:next w:val="Normal"/>
    <w:link w:val="SubtitleChar"/>
    <w:uiPriority w:val="11"/>
    <w:qFormat/>
    <w:rsid w:val="009175ED"/>
    <w:pPr>
      <w:spacing w:after="600"/>
    </w:pPr>
    <w:rPr>
      <w:rFonts w:eastAsiaTheme="majorEastAsia" w:cstheme="majorBidi"/>
      <w:iCs/>
      <w:spacing w:val="13"/>
      <w:sz w:val="32"/>
      <w:szCs w:val="24"/>
    </w:rPr>
  </w:style>
  <w:style w:type="character" w:customStyle="1" w:styleId="SubtitleChar">
    <w:name w:val="Subtitle Char"/>
    <w:basedOn w:val="DefaultParagraphFont"/>
    <w:link w:val="Subtitle"/>
    <w:uiPriority w:val="11"/>
    <w:rsid w:val="009175ED"/>
    <w:rPr>
      <w:rFonts w:ascii="Arial" w:eastAsiaTheme="majorEastAsia" w:hAnsi="Arial" w:cstheme="majorBidi"/>
      <w:iCs/>
      <w:spacing w:val="13"/>
      <w:sz w:val="32"/>
      <w:szCs w:val="24"/>
    </w:rPr>
  </w:style>
  <w:style w:type="paragraph" w:styleId="Header">
    <w:name w:val="header"/>
    <w:basedOn w:val="Normal"/>
    <w:link w:val="HeaderChar"/>
    <w:uiPriority w:val="99"/>
    <w:unhideWhenUsed/>
    <w:rsid w:val="000278D7"/>
    <w:pPr>
      <w:tabs>
        <w:tab w:val="center" w:pos="4513"/>
        <w:tab w:val="right" w:pos="9026"/>
      </w:tabs>
      <w:spacing w:after="0"/>
    </w:pPr>
  </w:style>
  <w:style w:type="character" w:customStyle="1" w:styleId="HeaderChar">
    <w:name w:val="Header Char"/>
    <w:basedOn w:val="DefaultParagraphFont"/>
    <w:link w:val="Header"/>
    <w:uiPriority w:val="99"/>
    <w:rsid w:val="000278D7"/>
    <w:rPr>
      <w:rFonts w:cs="Arial"/>
      <w:sz w:val="24"/>
      <w:szCs w:val="24"/>
      <w:lang w:eastAsia="en-AU"/>
    </w:rPr>
  </w:style>
  <w:style w:type="paragraph" w:styleId="Footer">
    <w:name w:val="footer"/>
    <w:basedOn w:val="Normal"/>
    <w:link w:val="FooterChar"/>
    <w:uiPriority w:val="99"/>
    <w:unhideWhenUsed/>
    <w:rsid w:val="000278D7"/>
    <w:pPr>
      <w:tabs>
        <w:tab w:val="center" w:pos="4513"/>
        <w:tab w:val="right" w:pos="9026"/>
      </w:tabs>
      <w:spacing w:after="0"/>
    </w:pPr>
  </w:style>
  <w:style w:type="character" w:customStyle="1" w:styleId="FooterChar">
    <w:name w:val="Footer Char"/>
    <w:basedOn w:val="DefaultParagraphFont"/>
    <w:link w:val="Footer"/>
    <w:uiPriority w:val="99"/>
    <w:rsid w:val="000278D7"/>
    <w:rPr>
      <w:rFonts w:cs="Arial"/>
      <w:sz w:val="24"/>
      <w:szCs w:val="24"/>
      <w:lang w:eastAsia="en-AU"/>
    </w:rPr>
  </w:style>
  <w:style w:type="paragraph" w:styleId="FootnoteText">
    <w:name w:val="footnote text"/>
    <w:basedOn w:val="Normal"/>
    <w:link w:val="FootnoteTextChar"/>
    <w:uiPriority w:val="99"/>
    <w:semiHidden/>
    <w:unhideWhenUsed/>
    <w:rsid w:val="000E3D30"/>
    <w:pPr>
      <w:spacing w:after="0"/>
    </w:pPr>
    <w:rPr>
      <w:sz w:val="20"/>
      <w:szCs w:val="20"/>
    </w:rPr>
  </w:style>
  <w:style w:type="character" w:customStyle="1" w:styleId="FootnoteTextChar">
    <w:name w:val="Footnote Text Char"/>
    <w:basedOn w:val="DefaultParagraphFont"/>
    <w:link w:val="FootnoteText"/>
    <w:uiPriority w:val="99"/>
    <w:semiHidden/>
    <w:rsid w:val="000E3D30"/>
    <w:rPr>
      <w:rFonts w:cs="Arial"/>
      <w:sz w:val="20"/>
      <w:szCs w:val="20"/>
      <w:lang w:eastAsia="en-AU"/>
    </w:rPr>
  </w:style>
  <w:style w:type="character" w:styleId="FootnoteReference">
    <w:name w:val="footnote reference"/>
    <w:basedOn w:val="DefaultParagraphFont"/>
    <w:uiPriority w:val="99"/>
    <w:semiHidden/>
    <w:unhideWhenUsed/>
    <w:rsid w:val="000E3D30"/>
    <w:rPr>
      <w:vertAlign w:val="superscript"/>
    </w:rPr>
  </w:style>
  <w:style w:type="character" w:customStyle="1" w:styleId="Heading5Char">
    <w:name w:val="Heading 5 Char"/>
    <w:basedOn w:val="DefaultParagraphFont"/>
    <w:link w:val="Heading5"/>
    <w:uiPriority w:val="9"/>
    <w:semiHidden/>
    <w:rsid w:val="009E6E65"/>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9E6E65"/>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9E6E65"/>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9E6E65"/>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9E6E65"/>
    <w:rPr>
      <w:rFonts w:asciiTheme="majorHAnsi" w:eastAsiaTheme="majorEastAsia" w:hAnsiTheme="majorHAnsi" w:cstheme="majorBidi"/>
      <w:i/>
      <w:iCs/>
      <w:spacing w:val="5"/>
      <w:sz w:val="20"/>
      <w:szCs w:val="20"/>
    </w:rPr>
  </w:style>
  <w:style w:type="paragraph" w:styleId="NoSpacing">
    <w:name w:val="No Spacing"/>
    <w:basedOn w:val="Normal"/>
    <w:uiPriority w:val="1"/>
    <w:qFormat/>
    <w:rsid w:val="009E6E65"/>
    <w:pPr>
      <w:spacing w:after="0" w:line="240" w:lineRule="auto"/>
    </w:pPr>
  </w:style>
  <w:style w:type="paragraph" w:styleId="Quote">
    <w:name w:val="Quote"/>
    <w:basedOn w:val="Normal"/>
    <w:next w:val="Normal"/>
    <w:link w:val="QuoteChar"/>
    <w:uiPriority w:val="29"/>
    <w:qFormat/>
    <w:rsid w:val="009E6E65"/>
    <w:pPr>
      <w:spacing w:before="200" w:after="0"/>
      <w:ind w:left="360" w:right="360"/>
    </w:pPr>
    <w:rPr>
      <w:i/>
      <w:iCs/>
    </w:rPr>
  </w:style>
  <w:style w:type="character" w:customStyle="1" w:styleId="QuoteChar">
    <w:name w:val="Quote Char"/>
    <w:basedOn w:val="DefaultParagraphFont"/>
    <w:link w:val="Quote"/>
    <w:uiPriority w:val="29"/>
    <w:rsid w:val="009E6E65"/>
    <w:rPr>
      <w:i/>
      <w:iCs/>
    </w:rPr>
  </w:style>
  <w:style w:type="paragraph" w:styleId="IntenseQuote">
    <w:name w:val="Intense Quote"/>
    <w:basedOn w:val="Normal"/>
    <w:next w:val="Normal"/>
    <w:link w:val="IntenseQuoteChar"/>
    <w:uiPriority w:val="30"/>
    <w:qFormat/>
    <w:rsid w:val="009E6E65"/>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E6E65"/>
    <w:rPr>
      <w:b/>
      <w:bCs/>
      <w:i/>
      <w:iCs/>
    </w:rPr>
  </w:style>
  <w:style w:type="character" w:styleId="SubtleEmphasis">
    <w:name w:val="Subtle Emphasis"/>
    <w:uiPriority w:val="19"/>
    <w:qFormat/>
    <w:rsid w:val="009E6E65"/>
    <w:rPr>
      <w:i/>
      <w:iCs/>
    </w:rPr>
  </w:style>
  <w:style w:type="character" w:styleId="IntenseEmphasis">
    <w:name w:val="Intense Emphasis"/>
    <w:uiPriority w:val="21"/>
    <w:qFormat/>
    <w:rsid w:val="009E6E65"/>
    <w:rPr>
      <w:b/>
      <w:bCs/>
    </w:rPr>
  </w:style>
  <w:style w:type="character" w:styleId="SubtleReference">
    <w:name w:val="Subtle Reference"/>
    <w:uiPriority w:val="31"/>
    <w:qFormat/>
    <w:rsid w:val="009E6E65"/>
    <w:rPr>
      <w:smallCaps/>
    </w:rPr>
  </w:style>
  <w:style w:type="character" w:styleId="IntenseReference">
    <w:name w:val="Intense Reference"/>
    <w:uiPriority w:val="32"/>
    <w:qFormat/>
    <w:rsid w:val="009E6E65"/>
    <w:rPr>
      <w:smallCaps/>
      <w:spacing w:val="5"/>
      <w:u w:val="single"/>
    </w:rPr>
  </w:style>
  <w:style w:type="character" w:styleId="BookTitle">
    <w:name w:val="Book Title"/>
    <w:uiPriority w:val="33"/>
    <w:qFormat/>
    <w:rsid w:val="009E6E65"/>
    <w:rPr>
      <w:i/>
      <w:iCs/>
      <w:smallCaps/>
      <w:spacing w:val="5"/>
    </w:rPr>
  </w:style>
  <w:style w:type="paragraph" w:styleId="TOCHeading">
    <w:name w:val="TOC Heading"/>
    <w:basedOn w:val="Heading1"/>
    <w:next w:val="Normal"/>
    <w:uiPriority w:val="39"/>
    <w:semiHidden/>
    <w:unhideWhenUsed/>
    <w:qFormat/>
    <w:rsid w:val="009E6E65"/>
    <w:pPr>
      <w:outlineLvl w:val="9"/>
    </w:pPr>
    <w:rPr>
      <w:lang w:bidi="en-US"/>
    </w:rPr>
  </w:style>
  <w:style w:type="paragraph" w:customStyle="1" w:styleId="BasicParagraph">
    <w:name w:val="[Basic Paragraph]"/>
    <w:basedOn w:val="Normal"/>
    <w:uiPriority w:val="99"/>
    <w:rsid w:val="008D6F88"/>
    <w:pPr>
      <w:autoSpaceDE w:val="0"/>
      <w:autoSpaceDN w:val="0"/>
      <w:adjustRightInd w:val="0"/>
      <w:spacing w:before="0" w:after="0" w:line="288" w:lineRule="auto"/>
      <w:textAlignment w:val="center"/>
    </w:pPr>
    <w:rPr>
      <w:rFonts w:ascii="Minion Pro" w:hAnsi="Minion Pro" w:cs="Minion Pro"/>
      <w:color w:val="000000"/>
      <w:szCs w:val="24"/>
      <w:lang w:val="en-GB"/>
    </w:rPr>
  </w:style>
  <w:style w:type="paragraph" w:styleId="TOC1">
    <w:name w:val="toc 1"/>
    <w:basedOn w:val="Normal"/>
    <w:next w:val="Normal"/>
    <w:autoRedefine/>
    <w:uiPriority w:val="39"/>
    <w:unhideWhenUsed/>
    <w:rsid w:val="00F00786"/>
    <w:pPr>
      <w:spacing w:after="100"/>
    </w:pPr>
  </w:style>
  <w:style w:type="paragraph" w:styleId="TOC2">
    <w:name w:val="toc 2"/>
    <w:basedOn w:val="Normal"/>
    <w:next w:val="Normal"/>
    <w:autoRedefine/>
    <w:uiPriority w:val="39"/>
    <w:unhideWhenUsed/>
    <w:rsid w:val="00F00786"/>
    <w:pPr>
      <w:spacing w:after="100"/>
      <w:ind w:left="240"/>
    </w:pPr>
  </w:style>
  <w:style w:type="paragraph" w:styleId="TOC3">
    <w:name w:val="toc 3"/>
    <w:basedOn w:val="Normal"/>
    <w:next w:val="Normal"/>
    <w:autoRedefine/>
    <w:uiPriority w:val="39"/>
    <w:unhideWhenUsed/>
    <w:rsid w:val="00F00786"/>
    <w:pPr>
      <w:spacing w:after="100"/>
      <w:ind w:left="480"/>
    </w:pPr>
  </w:style>
  <w:style w:type="paragraph" w:styleId="BodyText">
    <w:name w:val="Body Text"/>
    <w:basedOn w:val="Normal"/>
    <w:link w:val="BodyTextChar"/>
    <w:uiPriority w:val="99"/>
    <w:rsid w:val="00F00786"/>
    <w:pPr>
      <w:tabs>
        <w:tab w:val="left" w:pos="283"/>
        <w:tab w:val="left" w:pos="624"/>
      </w:tabs>
      <w:suppressAutoHyphens/>
      <w:autoSpaceDE w:val="0"/>
      <w:autoSpaceDN w:val="0"/>
      <w:adjustRightInd w:val="0"/>
      <w:spacing w:before="0" w:after="0" w:line="300" w:lineRule="atLeast"/>
      <w:textAlignment w:val="center"/>
    </w:pPr>
    <w:rPr>
      <w:rFonts w:ascii="HelveticaNeue LightCond" w:hAnsi="HelveticaNeue LightCond" w:cs="HelveticaNeue LightCond"/>
      <w:color w:val="504B8E"/>
      <w:szCs w:val="24"/>
      <w:lang w:val="en-GB"/>
    </w:rPr>
  </w:style>
  <w:style w:type="character" w:customStyle="1" w:styleId="BodyTextChar">
    <w:name w:val="Body Text Char"/>
    <w:basedOn w:val="DefaultParagraphFont"/>
    <w:link w:val="BodyText"/>
    <w:uiPriority w:val="99"/>
    <w:rsid w:val="00F00786"/>
    <w:rPr>
      <w:rFonts w:ascii="HelveticaNeue LightCond" w:hAnsi="HelveticaNeue LightCond" w:cs="HelveticaNeue LightCond"/>
      <w:color w:val="504B8E"/>
      <w:sz w:val="24"/>
      <w:szCs w:val="24"/>
      <w:lang w:val="en-GB"/>
    </w:rPr>
  </w:style>
  <w:style w:type="character" w:customStyle="1" w:styleId="Answertextfont">
    <w:name w:val="Answer text font"/>
    <w:rsid w:val="00F00786"/>
    <w:rPr>
      <w:sz w:val="20"/>
      <w:szCs w:val="20"/>
    </w:rPr>
  </w:style>
  <w:style w:type="paragraph" w:styleId="Caption">
    <w:name w:val="caption"/>
    <w:basedOn w:val="Normal"/>
    <w:next w:val="Normal"/>
    <w:autoRedefine/>
    <w:unhideWhenUsed/>
    <w:qFormat/>
    <w:rsid w:val="00F00786"/>
    <w:pPr>
      <w:keepNext/>
      <w:spacing w:before="0" w:after="0" w:line="240" w:lineRule="auto"/>
      <w:contextualSpacing/>
    </w:pPr>
    <w:rPr>
      <w:rFonts w:eastAsia="Times New Roman" w:cs="Arial"/>
      <w:bCs/>
      <w:szCs w:val="18"/>
      <w:lang w:eastAsia="en-AU"/>
    </w:rPr>
  </w:style>
  <w:style w:type="character" w:customStyle="1" w:styleId="SubHeading1">
    <w:name w:val="Sub Heading 1"/>
    <w:uiPriority w:val="99"/>
    <w:rsid w:val="004B21D9"/>
    <w:rPr>
      <w:rFonts w:ascii="HelveticaNeue Condensed" w:hAnsi="HelveticaNeue Condensed" w:cs="HelveticaNeue Condensed"/>
      <w:b/>
      <w:bCs/>
      <w:color w:val="504B8E"/>
      <w:sz w:val="28"/>
      <w:szCs w:val="28"/>
    </w:rPr>
  </w:style>
  <w:style w:type="paragraph" w:styleId="TOC4">
    <w:name w:val="toc 4"/>
    <w:basedOn w:val="Normal"/>
    <w:next w:val="Normal"/>
    <w:autoRedefine/>
    <w:uiPriority w:val="39"/>
    <w:unhideWhenUsed/>
    <w:rsid w:val="00D520F1"/>
    <w:pPr>
      <w:spacing w:after="100"/>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188405">
      <w:bodyDiv w:val="1"/>
      <w:marLeft w:val="0"/>
      <w:marRight w:val="0"/>
      <w:marTop w:val="0"/>
      <w:marBottom w:val="0"/>
      <w:divBdr>
        <w:top w:val="none" w:sz="0" w:space="0" w:color="auto"/>
        <w:left w:val="none" w:sz="0" w:space="0" w:color="auto"/>
        <w:bottom w:val="none" w:sz="0" w:space="0" w:color="auto"/>
        <w:right w:val="none" w:sz="0" w:space="0" w:color="auto"/>
      </w:divBdr>
    </w:div>
    <w:div w:id="48768080">
      <w:bodyDiv w:val="1"/>
      <w:marLeft w:val="0"/>
      <w:marRight w:val="0"/>
      <w:marTop w:val="0"/>
      <w:marBottom w:val="0"/>
      <w:divBdr>
        <w:top w:val="none" w:sz="0" w:space="0" w:color="auto"/>
        <w:left w:val="none" w:sz="0" w:space="0" w:color="auto"/>
        <w:bottom w:val="none" w:sz="0" w:space="0" w:color="auto"/>
        <w:right w:val="none" w:sz="0" w:space="0" w:color="auto"/>
      </w:divBdr>
    </w:div>
    <w:div w:id="85201513">
      <w:bodyDiv w:val="1"/>
      <w:marLeft w:val="0"/>
      <w:marRight w:val="0"/>
      <w:marTop w:val="0"/>
      <w:marBottom w:val="0"/>
      <w:divBdr>
        <w:top w:val="none" w:sz="0" w:space="0" w:color="auto"/>
        <w:left w:val="none" w:sz="0" w:space="0" w:color="auto"/>
        <w:bottom w:val="none" w:sz="0" w:space="0" w:color="auto"/>
        <w:right w:val="none" w:sz="0" w:space="0" w:color="auto"/>
      </w:divBdr>
    </w:div>
    <w:div w:id="117996994">
      <w:bodyDiv w:val="1"/>
      <w:marLeft w:val="0"/>
      <w:marRight w:val="0"/>
      <w:marTop w:val="0"/>
      <w:marBottom w:val="0"/>
      <w:divBdr>
        <w:top w:val="none" w:sz="0" w:space="0" w:color="auto"/>
        <w:left w:val="none" w:sz="0" w:space="0" w:color="auto"/>
        <w:bottom w:val="none" w:sz="0" w:space="0" w:color="auto"/>
        <w:right w:val="none" w:sz="0" w:space="0" w:color="auto"/>
      </w:divBdr>
    </w:div>
    <w:div w:id="255408020">
      <w:bodyDiv w:val="1"/>
      <w:marLeft w:val="0"/>
      <w:marRight w:val="0"/>
      <w:marTop w:val="0"/>
      <w:marBottom w:val="0"/>
      <w:divBdr>
        <w:top w:val="none" w:sz="0" w:space="0" w:color="auto"/>
        <w:left w:val="none" w:sz="0" w:space="0" w:color="auto"/>
        <w:bottom w:val="none" w:sz="0" w:space="0" w:color="auto"/>
        <w:right w:val="none" w:sz="0" w:space="0" w:color="auto"/>
      </w:divBdr>
    </w:div>
    <w:div w:id="282420923">
      <w:bodyDiv w:val="1"/>
      <w:marLeft w:val="0"/>
      <w:marRight w:val="0"/>
      <w:marTop w:val="0"/>
      <w:marBottom w:val="0"/>
      <w:divBdr>
        <w:top w:val="none" w:sz="0" w:space="0" w:color="auto"/>
        <w:left w:val="none" w:sz="0" w:space="0" w:color="auto"/>
        <w:bottom w:val="none" w:sz="0" w:space="0" w:color="auto"/>
        <w:right w:val="none" w:sz="0" w:space="0" w:color="auto"/>
      </w:divBdr>
      <w:divsChild>
        <w:div w:id="861090656">
          <w:marLeft w:val="835"/>
          <w:marRight w:val="0"/>
          <w:marTop w:val="100"/>
          <w:marBottom w:val="100"/>
          <w:divBdr>
            <w:top w:val="none" w:sz="0" w:space="0" w:color="auto"/>
            <w:left w:val="none" w:sz="0" w:space="0" w:color="auto"/>
            <w:bottom w:val="none" w:sz="0" w:space="0" w:color="auto"/>
            <w:right w:val="none" w:sz="0" w:space="0" w:color="auto"/>
          </w:divBdr>
        </w:div>
        <w:div w:id="1839687045">
          <w:marLeft w:val="835"/>
          <w:marRight w:val="0"/>
          <w:marTop w:val="100"/>
          <w:marBottom w:val="100"/>
          <w:divBdr>
            <w:top w:val="none" w:sz="0" w:space="0" w:color="auto"/>
            <w:left w:val="none" w:sz="0" w:space="0" w:color="auto"/>
            <w:bottom w:val="none" w:sz="0" w:space="0" w:color="auto"/>
            <w:right w:val="none" w:sz="0" w:space="0" w:color="auto"/>
          </w:divBdr>
        </w:div>
        <w:div w:id="2134782996">
          <w:marLeft w:val="835"/>
          <w:marRight w:val="0"/>
          <w:marTop w:val="100"/>
          <w:marBottom w:val="100"/>
          <w:divBdr>
            <w:top w:val="none" w:sz="0" w:space="0" w:color="auto"/>
            <w:left w:val="none" w:sz="0" w:space="0" w:color="auto"/>
            <w:bottom w:val="none" w:sz="0" w:space="0" w:color="auto"/>
            <w:right w:val="none" w:sz="0" w:space="0" w:color="auto"/>
          </w:divBdr>
        </w:div>
      </w:divsChild>
    </w:div>
    <w:div w:id="286357534">
      <w:bodyDiv w:val="1"/>
      <w:marLeft w:val="0"/>
      <w:marRight w:val="0"/>
      <w:marTop w:val="0"/>
      <w:marBottom w:val="0"/>
      <w:divBdr>
        <w:top w:val="none" w:sz="0" w:space="0" w:color="auto"/>
        <w:left w:val="none" w:sz="0" w:space="0" w:color="auto"/>
        <w:bottom w:val="none" w:sz="0" w:space="0" w:color="auto"/>
        <w:right w:val="none" w:sz="0" w:space="0" w:color="auto"/>
      </w:divBdr>
      <w:divsChild>
        <w:div w:id="66078452">
          <w:marLeft w:val="446"/>
          <w:marRight w:val="0"/>
          <w:marTop w:val="86"/>
          <w:marBottom w:val="120"/>
          <w:divBdr>
            <w:top w:val="none" w:sz="0" w:space="0" w:color="auto"/>
            <w:left w:val="none" w:sz="0" w:space="0" w:color="auto"/>
            <w:bottom w:val="none" w:sz="0" w:space="0" w:color="auto"/>
            <w:right w:val="none" w:sz="0" w:space="0" w:color="auto"/>
          </w:divBdr>
        </w:div>
        <w:div w:id="281108097">
          <w:marLeft w:val="446"/>
          <w:marRight w:val="0"/>
          <w:marTop w:val="86"/>
          <w:marBottom w:val="120"/>
          <w:divBdr>
            <w:top w:val="none" w:sz="0" w:space="0" w:color="auto"/>
            <w:left w:val="none" w:sz="0" w:space="0" w:color="auto"/>
            <w:bottom w:val="none" w:sz="0" w:space="0" w:color="auto"/>
            <w:right w:val="none" w:sz="0" w:space="0" w:color="auto"/>
          </w:divBdr>
        </w:div>
      </w:divsChild>
    </w:div>
    <w:div w:id="439686803">
      <w:bodyDiv w:val="1"/>
      <w:marLeft w:val="0"/>
      <w:marRight w:val="0"/>
      <w:marTop w:val="0"/>
      <w:marBottom w:val="0"/>
      <w:divBdr>
        <w:top w:val="none" w:sz="0" w:space="0" w:color="auto"/>
        <w:left w:val="none" w:sz="0" w:space="0" w:color="auto"/>
        <w:bottom w:val="none" w:sz="0" w:space="0" w:color="auto"/>
        <w:right w:val="none" w:sz="0" w:space="0" w:color="auto"/>
      </w:divBdr>
    </w:div>
    <w:div w:id="516887673">
      <w:bodyDiv w:val="1"/>
      <w:marLeft w:val="0"/>
      <w:marRight w:val="0"/>
      <w:marTop w:val="0"/>
      <w:marBottom w:val="0"/>
      <w:divBdr>
        <w:top w:val="none" w:sz="0" w:space="0" w:color="auto"/>
        <w:left w:val="none" w:sz="0" w:space="0" w:color="auto"/>
        <w:bottom w:val="none" w:sz="0" w:space="0" w:color="auto"/>
        <w:right w:val="none" w:sz="0" w:space="0" w:color="auto"/>
      </w:divBdr>
    </w:div>
    <w:div w:id="686172711">
      <w:bodyDiv w:val="1"/>
      <w:marLeft w:val="0"/>
      <w:marRight w:val="0"/>
      <w:marTop w:val="0"/>
      <w:marBottom w:val="0"/>
      <w:divBdr>
        <w:top w:val="none" w:sz="0" w:space="0" w:color="auto"/>
        <w:left w:val="none" w:sz="0" w:space="0" w:color="auto"/>
        <w:bottom w:val="none" w:sz="0" w:space="0" w:color="auto"/>
        <w:right w:val="none" w:sz="0" w:space="0" w:color="auto"/>
      </w:divBdr>
    </w:div>
    <w:div w:id="695229513">
      <w:bodyDiv w:val="1"/>
      <w:marLeft w:val="0"/>
      <w:marRight w:val="0"/>
      <w:marTop w:val="0"/>
      <w:marBottom w:val="0"/>
      <w:divBdr>
        <w:top w:val="none" w:sz="0" w:space="0" w:color="auto"/>
        <w:left w:val="none" w:sz="0" w:space="0" w:color="auto"/>
        <w:bottom w:val="none" w:sz="0" w:space="0" w:color="auto"/>
        <w:right w:val="none" w:sz="0" w:space="0" w:color="auto"/>
      </w:divBdr>
    </w:div>
    <w:div w:id="836572531">
      <w:bodyDiv w:val="1"/>
      <w:marLeft w:val="0"/>
      <w:marRight w:val="0"/>
      <w:marTop w:val="0"/>
      <w:marBottom w:val="0"/>
      <w:divBdr>
        <w:top w:val="none" w:sz="0" w:space="0" w:color="auto"/>
        <w:left w:val="none" w:sz="0" w:space="0" w:color="auto"/>
        <w:bottom w:val="none" w:sz="0" w:space="0" w:color="auto"/>
        <w:right w:val="none" w:sz="0" w:space="0" w:color="auto"/>
      </w:divBdr>
      <w:divsChild>
        <w:div w:id="1747148544">
          <w:marLeft w:val="576"/>
          <w:marRight w:val="0"/>
          <w:marTop w:val="100"/>
          <w:marBottom w:val="100"/>
          <w:divBdr>
            <w:top w:val="none" w:sz="0" w:space="0" w:color="auto"/>
            <w:left w:val="none" w:sz="0" w:space="0" w:color="auto"/>
            <w:bottom w:val="none" w:sz="0" w:space="0" w:color="auto"/>
            <w:right w:val="none" w:sz="0" w:space="0" w:color="auto"/>
          </w:divBdr>
        </w:div>
      </w:divsChild>
    </w:div>
    <w:div w:id="839003728">
      <w:bodyDiv w:val="1"/>
      <w:marLeft w:val="0"/>
      <w:marRight w:val="0"/>
      <w:marTop w:val="0"/>
      <w:marBottom w:val="0"/>
      <w:divBdr>
        <w:top w:val="none" w:sz="0" w:space="0" w:color="auto"/>
        <w:left w:val="none" w:sz="0" w:space="0" w:color="auto"/>
        <w:bottom w:val="none" w:sz="0" w:space="0" w:color="auto"/>
        <w:right w:val="none" w:sz="0" w:space="0" w:color="auto"/>
      </w:divBdr>
    </w:div>
    <w:div w:id="839462423">
      <w:bodyDiv w:val="1"/>
      <w:marLeft w:val="0"/>
      <w:marRight w:val="0"/>
      <w:marTop w:val="0"/>
      <w:marBottom w:val="0"/>
      <w:divBdr>
        <w:top w:val="none" w:sz="0" w:space="0" w:color="auto"/>
        <w:left w:val="none" w:sz="0" w:space="0" w:color="auto"/>
        <w:bottom w:val="none" w:sz="0" w:space="0" w:color="auto"/>
        <w:right w:val="none" w:sz="0" w:space="0" w:color="auto"/>
      </w:divBdr>
    </w:div>
    <w:div w:id="899901684">
      <w:bodyDiv w:val="1"/>
      <w:marLeft w:val="0"/>
      <w:marRight w:val="0"/>
      <w:marTop w:val="0"/>
      <w:marBottom w:val="0"/>
      <w:divBdr>
        <w:top w:val="none" w:sz="0" w:space="0" w:color="auto"/>
        <w:left w:val="none" w:sz="0" w:space="0" w:color="auto"/>
        <w:bottom w:val="none" w:sz="0" w:space="0" w:color="auto"/>
        <w:right w:val="none" w:sz="0" w:space="0" w:color="auto"/>
      </w:divBdr>
      <w:divsChild>
        <w:div w:id="550507873">
          <w:marLeft w:val="576"/>
          <w:marRight w:val="0"/>
          <w:marTop w:val="100"/>
          <w:marBottom w:val="100"/>
          <w:divBdr>
            <w:top w:val="none" w:sz="0" w:space="0" w:color="auto"/>
            <w:left w:val="none" w:sz="0" w:space="0" w:color="auto"/>
            <w:bottom w:val="none" w:sz="0" w:space="0" w:color="auto"/>
            <w:right w:val="none" w:sz="0" w:space="0" w:color="auto"/>
          </w:divBdr>
        </w:div>
      </w:divsChild>
    </w:div>
    <w:div w:id="930893928">
      <w:bodyDiv w:val="1"/>
      <w:marLeft w:val="0"/>
      <w:marRight w:val="0"/>
      <w:marTop w:val="0"/>
      <w:marBottom w:val="0"/>
      <w:divBdr>
        <w:top w:val="none" w:sz="0" w:space="0" w:color="auto"/>
        <w:left w:val="none" w:sz="0" w:space="0" w:color="auto"/>
        <w:bottom w:val="none" w:sz="0" w:space="0" w:color="auto"/>
        <w:right w:val="none" w:sz="0" w:space="0" w:color="auto"/>
      </w:divBdr>
      <w:divsChild>
        <w:div w:id="1315450835">
          <w:marLeft w:val="576"/>
          <w:marRight w:val="0"/>
          <w:marTop w:val="100"/>
          <w:marBottom w:val="100"/>
          <w:divBdr>
            <w:top w:val="none" w:sz="0" w:space="0" w:color="auto"/>
            <w:left w:val="none" w:sz="0" w:space="0" w:color="auto"/>
            <w:bottom w:val="none" w:sz="0" w:space="0" w:color="auto"/>
            <w:right w:val="none" w:sz="0" w:space="0" w:color="auto"/>
          </w:divBdr>
        </w:div>
      </w:divsChild>
    </w:div>
    <w:div w:id="1180777126">
      <w:bodyDiv w:val="1"/>
      <w:marLeft w:val="0"/>
      <w:marRight w:val="0"/>
      <w:marTop w:val="0"/>
      <w:marBottom w:val="0"/>
      <w:divBdr>
        <w:top w:val="none" w:sz="0" w:space="0" w:color="auto"/>
        <w:left w:val="none" w:sz="0" w:space="0" w:color="auto"/>
        <w:bottom w:val="none" w:sz="0" w:space="0" w:color="auto"/>
        <w:right w:val="none" w:sz="0" w:space="0" w:color="auto"/>
      </w:divBdr>
      <w:divsChild>
        <w:div w:id="1777602703">
          <w:marLeft w:val="274"/>
          <w:marRight w:val="0"/>
          <w:marTop w:val="100"/>
          <w:marBottom w:val="100"/>
          <w:divBdr>
            <w:top w:val="none" w:sz="0" w:space="0" w:color="auto"/>
            <w:left w:val="none" w:sz="0" w:space="0" w:color="auto"/>
            <w:bottom w:val="none" w:sz="0" w:space="0" w:color="auto"/>
            <w:right w:val="none" w:sz="0" w:space="0" w:color="auto"/>
          </w:divBdr>
        </w:div>
      </w:divsChild>
    </w:div>
    <w:div w:id="1224487127">
      <w:bodyDiv w:val="1"/>
      <w:marLeft w:val="0"/>
      <w:marRight w:val="0"/>
      <w:marTop w:val="0"/>
      <w:marBottom w:val="0"/>
      <w:divBdr>
        <w:top w:val="none" w:sz="0" w:space="0" w:color="auto"/>
        <w:left w:val="none" w:sz="0" w:space="0" w:color="auto"/>
        <w:bottom w:val="none" w:sz="0" w:space="0" w:color="auto"/>
        <w:right w:val="none" w:sz="0" w:space="0" w:color="auto"/>
      </w:divBdr>
      <w:divsChild>
        <w:div w:id="553975883">
          <w:marLeft w:val="274"/>
          <w:marRight w:val="0"/>
          <w:marTop w:val="100"/>
          <w:marBottom w:val="100"/>
          <w:divBdr>
            <w:top w:val="none" w:sz="0" w:space="0" w:color="auto"/>
            <w:left w:val="none" w:sz="0" w:space="0" w:color="auto"/>
            <w:bottom w:val="none" w:sz="0" w:space="0" w:color="auto"/>
            <w:right w:val="none" w:sz="0" w:space="0" w:color="auto"/>
          </w:divBdr>
        </w:div>
      </w:divsChild>
    </w:div>
    <w:div w:id="1256788093">
      <w:bodyDiv w:val="1"/>
      <w:marLeft w:val="0"/>
      <w:marRight w:val="0"/>
      <w:marTop w:val="0"/>
      <w:marBottom w:val="0"/>
      <w:divBdr>
        <w:top w:val="none" w:sz="0" w:space="0" w:color="auto"/>
        <w:left w:val="none" w:sz="0" w:space="0" w:color="auto"/>
        <w:bottom w:val="none" w:sz="0" w:space="0" w:color="auto"/>
        <w:right w:val="none" w:sz="0" w:space="0" w:color="auto"/>
      </w:divBdr>
    </w:div>
    <w:div w:id="1263224462">
      <w:bodyDiv w:val="1"/>
      <w:marLeft w:val="0"/>
      <w:marRight w:val="0"/>
      <w:marTop w:val="0"/>
      <w:marBottom w:val="0"/>
      <w:divBdr>
        <w:top w:val="none" w:sz="0" w:space="0" w:color="auto"/>
        <w:left w:val="none" w:sz="0" w:space="0" w:color="auto"/>
        <w:bottom w:val="none" w:sz="0" w:space="0" w:color="auto"/>
        <w:right w:val="none" w:sz="0" w:space="0" w:color="auto"/>
      </w:divBdr>
    </w:div>
    <w:div w:id="1311977356">
      <w:bodyDiv w:val="1"/>
      <w:marLeft w:val="0"/>
      <w:marRight w:val="0"/>
      <w:marTop w:val="0"/>
      <w:marBottom w:val="0"/>
      <w:divBdr>
        <w:top w:val="none" w:sz="0" w:space="0" w:color="auto"/>
        <w:left w:val="none" w:sz="0" w:space="0" w:color="auto"/>
        <w:bottom w:val="none" w:sz="0" w:space="0" w:color="auto"/>
        <w:right w:val="none" w:sz="0" w:space="0" w:color="auto"/>
      </w:divBdr>
    </w:div>
    <w:div w:id="1454210320">
      <w:bodyDiv w:val="1"/>
      <w:marLeft w:val="0"/>
      <w:marRight w:val="0"/>
      <w:marTop w:val="0"/>
      <w:marBottom w:val="0"/>
      <w:divBdr>
        <w:top w:val="none" w:sz="0" w:space="0" w:color="auto"/>
        <w:left w:val="none" w:sz="0" w:space="0" w:color="auto"/>
        <w:bottom w:val="none" w:sz="0" w:space="0" w:color="auto"/>
        <w:right w:val="none" w:sz="0" w:space="0" w:color="auto"/>
      </w:divBdr>
    </w:div>
    <w:div w:id="1458254010">
      <w:bodyDiv w:val="1"/>
      <w:marLeft w:val="0"/>
      <w:marRight w:val="0"/>
      <w:marTop w:val="0"/>
      <w:marBottom w:val="0"/>
      <w:divBdr>
        <w:top w:val="none" w:sz="0" w:space="0" w:color="auto"/>
        <w:left w:val="none" w:sz="0" w:space="0" w:color="auto"/>
        <w:bottom w:val="none" w:sz="0" w:space="0" w:color="auto"/>
        <w:right w:val="none" w:sz="0" w:space="0" w:color="auto"/>
      </w:divBdr>
    </w:div>
    <w:div w:id="1473982954">
      <w:bodyDiv w:val="1"/>
      <w:marLeft w:val="0"/>
      <w:marRight w:val="0"/>
      <w:marTop w:val="0"/>
      <w:marBottom w:val="0"/>
      <w:divBdr>
        <w:top w:val="none" w:sz="0" w:space="0" w:color="auto"/>
        <w:left w:val="none" w:sz="0" w:space="0" w:color="auto"/>
        <w:bottom w:val="none" w:sz="0" w:space="0" w:color="auto"/>
        <w:right w:val="none" w:sz="0" w:space="0" w:color="auto"/>
      </w:divBdr>
    </w:div>
    <w:div w:id="1481577638">
      <w:bodyDiv w:val="1"/>
      <w:marLeft w:val="0"/>
      <w:marRight w:val="0"/>
      <w:marTop w:val="0"/>
      <w:marBottom w:val="0"/>
      <w:divBdr>
        <w:top w:val="none" w:sz="0" w:space="0" w:color="auto"/>
        <w:left w:val="none" w:sz="0" w:space="0" w:color="auto"/>
        <w:bottom w:val="none" w:sz="0" w:space="0" w:color="auto"/>
        <w:right w:val="none" w:sz="0" w:space="0" w:color="auto"/>
      </w:divBdr>
    </w:div>
    <w:div w:id="1501919899">
      <w:bodyDiv w:val="1"/>
      <w:marLeft w:val="0"/>
      <w:marRight w:val="0"/>
      <w:marTop w:val="0"/>
      <w:marBottom w:val="0"/>
      <w:divBdr>
        <w:top w:val="none" w:sz="0" w:space="0" w:color="auto"/>
        <w:left w:val="none" w:sz="0" w:space="0" w:color="auto"/>
        <w:bottom w:val="none" w:sz="0" w:space="0" w:color="auto"/>
        <w:right w:val="none" w:sz="0" w:space="0" w:color="auto"/>
      </w:divBdr>
    </w:div>
    <w:div w:id="1507163076">
      <w:bodyDiv w:val="1"/>
      <w:marLeft w:val="0"/>
      <w:marRight w:val="0"/>
      <w:marTop w:val="0"/>
      <w:marBottom w:val="0"/>
      <w:divBdr>
        <w:top w:val="none" w:sz="0" w:space="0" w:color="auto"/>
        <w:left w:val="none" w:sz="0" w:space="0" w:color="auto"/>
        <w:bottom w:val="none" w:sz="0" w:space="0" w:color="auto"/>
        <w:right w:val="none" w:sz="0" w:space="0" w:color="auto"/>
      </w:divBdr>
      <w:divsChild>
        <w:div w:id="688526470">
          <w:marLeft w:val="446"/>
          <w:marRight w:val="0"/>
          <w:marTop w:val="86"/>
          <w:marBottom w:val="120"/>
          <w:divBdr>
            <w:top w:val="none" w:sz="0" w:space="0" w:color="auto"/>
            <w:left w:val="none" w:sz="0" w:space="0" w:color="auto"/>
            <w:bottom w:val="none" w:sz="0" w:space="0" w:color="auto"/>
            <w:right w:val="none" w:sz="0" w:space="0" w:color="auto"/>
          </w:divBdr>
        </w:div>
      </w:divsChild>
    </w:div>
    <w:div w:id="1659722055">
      <w:bodyDiv w:val="1"/>
      <w:marLeft w:val="0"/>
      <w:marRight w:val="0"/>
      <w:marTop w:val="0"/>
      <w:marBottom w:val="0"/>
      <w:divBdr>
        <w:top w:val="none" w:sz="0" w:space="0" w:color="auto"/>
        <w:left w:val="none" w:sz="0" w:space="0" w:color="auto"/>
        <w:bottom w:val="none" w:sz="0" w:space="0" w:color="auto"/>
        <w:right w:val="none" w:sz="0" w:space="0" w:color="auto"/>
      </w:divBdr>
    </w:div>
    <w:div w:id="1720012668">
      <w:bodyDiv w:val="1"/>
      <w:marLeft w:val="0"/>
      <w:marRight w:val="0"/>
      <w:marTop w:val="0"/>
      <w:marBottom w:val="0"/>
      <w:divBdr>
        <w:top w:val="none" w:sz="0" w:space="0" w:color="auto"/>
        <w:left w:val="none" w:sz="0" w:space="0" w:color="auto"/>
        <w:bottom w:val="none" w:sz="0" w:space="0" w:color="auto"/>
        <w:right w:val="none" w:sz="0" w:space="0" w:color="auto"/>
      </w:divBdr>
    </w:div>
    <w:div w:id="1743484082">
      <w:bodyDiv w:val="1"/>
      <w:marLeft w:val="0"/>
      <w:marRight w:val="0"/>
      <w:marTop w:val="0"/>
      <w:marBottom w:val="0"/>
      <w:divBdr>
        <w:top w:val="none" w:sz="0" w:space="0" w:color="auto"/>
        <w:left w:val="none" w:sz="0" w:space="0" w:color="auto"/>
        <w:bottom w:val="none" w:sz="0" w:space="0" w:color="auto"/>
        <w:right w:val="none" w:sz="0" w:space="0" w:color="auto"/>
      </w:divBdr>
    </w:div>
    <w:div w:id="1751854088">
      <w:bodyDiv w:val="1"/>
      <w:marLeft w:val="0"/>
      <w:marRight w:val="0"/>
      <w:marTop w:val="0"/>
      <w:marBottom w:val="0"/>
      <w:divBdr>
        <w:top w:val="none" w:sz="0" w:space="0" w:color="auto"/>
        <w:left w:val="none" w:sz="0" w:space="0" w:color="auto"/>
        <w:bottom w:val="none" w:sz="0" w:space="0" w:color="auto"/>
        <w:right w:val="none" w:sz="0" w:space="0" w:color="auto"/>
      </w:divBdr>
    </w:div>
    <w:div w:id="1791894822">
      <w:bodyDiv w:val="1"/>
      <w:marLeft w:val="0"/>
      <w:marRight w:val="0"/>
      <w:marTop w:val="0"/>
      <w:marBottom w:val="0"/>
      <w:divBdr>
        <w:top w:val="none" w:sz="0" w:space="0" w:color="auto"/>
        <w:left w:val="none" w:sz="0" w:space="0" w:color="auto"/>
        <w:bottom w:val="none" w:sz="0" w:space="0" w:color="auto"/>
        <w:right w:val="none" w:sz="0" w:space="0" w:color="auto"/>
      </w:divBdr>
    </w:div>
    <w:div w:id="1801873169">
      <w:bodyDiv w:val="1"/>
      <w:marLeft w:val="0"/>
      <w:marRight w:val="0"/>
      <w:marTop w:val="0"/>
      <w:marBottom w:val="0"/>
      <w:divBdr>
        <w:top w:val="none" w:sz="0" w:space="0" w:color="auto"/>
        <w:left w:val="none" w:sz="0" w:space="0" w:color="auto"/>
        <w:bottom w:val="none" w:sz="0" w:space="0" w:color="auto"/>
        <w:right w:val="none" w:sz="0" w:space="0" w:color="auto"/>
      </w:divBdr>
    </w:div>
    <w:div w:id="1826584870">
      <w:bodyDiv w:val="1"/>
      <w:marLeft w:val="0"/>
      <w:marRight w:val="0"/>
      <w:marTop w:val="0"/>
      <w:marBottom w:val="0"/>
      <w:divBdr>
        <w:top w:val="none" w:sz="0" w:space="0" w:color="auto"/>
        <w:left w:val="none" w:sz="0" w:space="0" w:color="auto"/>
        <w:bottom w:val="none" w:sz="0" w:space="0" w:color="auto"/>
        <w:right w:val="none" w:sz="0" w:space="0" w:color="auto"/>
      </w:divBdr>
    </w:div>
    <w:div w:id="1830442636">
      <w:bodyDiv w:val="1"/>
      <w:marLeft w:val="0"/>
      <w:marRight w:val="0"/>
      <w:marTop w:val="0"/>
      <w:marBottom w:val="0"/>
      <w:divBdr>
        <w:top w:val="none" w:sz="0" w:space="0" w:color="auto"/>
        <w:left w:val="none" w:sz="0" w:space="0" w:color="auto"/>
        <w:bottom w:val="none" w:sz="0" w:space="0" w:color="auto"/>
        <w:right w:val="none" w:sz="0" w:space="0" w:color="auto"/>
      </w:divBdr>
    </w:div>
    <w:div w:id="1871799529">
      <w:bodyDiv w:val="1"/>
      <w:marLeft w:val="0"/>
      <w:marRight w:val="0"/>
      <w:marTop w:val="0"/>
      <w:marBottom w:val="0"/>
      <w:divBdr>
        <w:top w:val="none" w:sz="0" w:space="0" w:color="auto"/>
        <w:left w:val="none" w:sz="0" w:space="0" w:color="auto"/>
        <w:bottom w:val="none" w:sz="0" w:space="0" w:color="auto"/>
        <w:right w:val="none" w:sz="0" w:space="0" w:color="auto"/>
      </w:divBdr>
    </w:div>
    <w:div w:id="1901405428">
      <w:bodyDiv w:val="1"/>
      <w:marLeft w:val="0"/>
      <w:marRight w:val="0"/>
      <w:marTop w:val="0"/>
      <w:marBottom w:val="0"/>
      <w:divBdr>
        <w:top w:val="none" w:sz="0" w:space="0" w:color="auto"/>
        <w:left w:val="none" w:sz="0" w:space="0" w:color="auto"/>
        <w:bottom w:val="none" w:sz="0" w:space="0" w:color="auto"/>
        <w:right w:val="none" w:sz="0" w:space="0" w:color="auto"/>
      </w:divBdr>
    </w:div>
    <w:div w:id="1904174186">
      <w:bodyDiv w:val="1"/>
      <w:marLeft w:val="0"/>
      <w:marRight w:val="0"/>
      <w:marTop w:val="0"/>
      <w:marBottom w:val="0"/>
      <w:divBdr>
        <w:top w:val="none" w:sz="0" w:space="0" w:color="auto"/>
        <w:left w:val="none" w:sz="0" w:space="0" w:color="auto"/>
        <w:bottom w:val="none" w:sz="0" w:space="0" w:color="auto"/>
        <w:right w:val="none" w:sz="0" w:space="0" w:color="auto"/>
      </w:divBdr>
    </w:div>
    <w:div w:id="1966614042">
      <w:bodyDiv w:val="1"/>
      <w:marLeft w:val="0"/>
      <w:marRight w:val="0"/>
      <w:marTop w:val="0"/>
      <w:marBottom w:val="0"/>
      <w:divBdr>
        <w:top w:val="none" w:sz="0" w:space="0" w:color="auto"/>
        <w:left w:val="none" w:sz="0" w:space="0" w:color="auto"/>
        <w:bottom w:val="none" w:sz="0" w:space="0" w:color="auto"/>
        <w:right w:val="none" w:sz="0" w:space="0" w:color="auto"/>
      </w:divBdr>
    </w:div>
    <w:div w:id="2005622382">
      <w:bodyDiv w:val="1"/>
      <w:marLeft w:val="0"/>
      <w:marRight w:val="0"/>
      <w:marTop w:val="0"/>
      <w:marBottom w:val="0"/>
      <w:divBdr>
        <w:top w:val="none" w:sz="0" w:space="0" w:color="auto"/>
        <w:left w:val="none" w:sz="0" w:space="0" w:color="auto"/>
        <w:bottom w:val="none" w:sz="0" w:space="0" w:color="auto"/>
        <w:right w:val="none" w:sz="0" w:space="0" w:color="auto"/>
      </w:divBdr>
    </w:div>
    <w:div w:id="2013336494">
      <w:bodyDiv w:val="1"/>
      <w:marLeft w:val="0"/>
      <w:marRight w:val="0"/>
      <w:marTop w:val="0"/>
      <w:marBottom w:val="0"/>
      <w:divBdr>
        <w:top w:val="none" w:sz="0" w:space="0" w:color="auto"/>
        <w:left w:val="none" w:sz="0" w:space="0" w:color="auto"/>
        <w:bottom w:val="none" w:sz="0" w:space="0" w:color="auto"/>
        <w:right w:val="none" w:sz="0" w:space="0" w:color="auto"/>
      </w:divBdr>
    </w:div>
    <w:div w:id="2041348080">
      <w:bodyDiv w:val="1"/>
      <w:marLeft w:val="0"/>
      <w:marRight w:val="0"/>
      <w:marTop w:val="0"/>
      <w:marBottom w:val="0"/>
      <w:divBdr>
        <w:top w:val="none" w:sz="0" w:space="0" w:color="auto"/>
        <w:left w:val="none" w:sz="0" w:space="0" w:color="auto"/>
        <w:bottom w:val="none" w:sz="0" w:space="0" w:color="auto"/>
        <w:right w:val="none" w:sz="0" w:space="0" w:color="auto"/>
      </w:divBdr>
    </w:div>
    <w:div w:id="2074615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ken.baker@nds.org.au" TargetMode="External"/><Relationship Id="rId17"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hyperlink" Target="mailto:jgrimwade@australianblindnessforum.org.a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5" Type="http://schemas.openxmlformats.org/officeDocument/2006/relationships/settings" Target="settings.xml"/><Relationship Id="rId15" Type="http://schemas.openxmlformats.org/officeDocument/2006/relationships/image" Target="media/image4.wmf"/><Relationship Id="rId10" Type="http://schemas.openxmlformats.org/officeDocument/2006/relationships/hyperlink" Target="mailto:gordon.duff@nds.org.au"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yperlink" Target="mailto:BAhTong@vision2020australia.org.au"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1"/>
    </c:view3D>
    <c:floor>
      <c:thickness val="0"/>
    </c:floor>
    <c:sideWall>
      <c:thickness val="0"/>
    </c:sideWall>
    <c:backWall>
      <c:thickness val="0"/>
    </c:backWall>
    <c:plotArea>
      <c:layout/>
      <c:bar3DChart>
        <c:barDir val="bar"/>
        <c:grouping val="percentStacked"/>
        <c:varyColors val="0"/>
        <c:ser>
          <c:idx val="0"/>
          <c:order val="0"/>
          <c:tx>
            <c:strRef>
              <c:f>Sheet3!$B$1</c:f>
              <c:strCache>
                <c:ptCount val="1"/>
                <c:pt idx="0">
                  <c:v>Demand increased</c:v>
                </c:pt>
              </c:strCache>
            </c:strRef>
          </c:tx>
          <c:invertIfNegative val="0"/>
          <c:cat>
            <c:strRef>
              <c:f>Sheet3!$A$2:$A$18</c:f>
              <c:strCache>
                <c:ptCount val="17"/>
                <c:pt idx="0">
                  <c:v>Activities of daily living</c:v>
                </c:pt>
                <c:pt idx="1">
                  <c:v>Advocacy or advisory</c:v>
                </c:pt>
                <c:pt idx="2">
                  <c:v>Aids, equipment &amp; assistive technology</c:v>
                </c:pt>
                <c:pt idx="3">
                  <c:v>Community awareness/community education</c:v>
                </c:pt>
                <c:pt idx="4">
                  <c:v>Counselling</c:v>
                </c:pt>
                <c:pt idx="5">
                  <c:v>Education support</c:v>
                </c:pt>
                <c:pt idx="6">
                  <c:v>Employment services</c:v>
                </c:pt>
                <c:pt idx="7">
                  <c:v>Fundraising</c:v>
                </c:pt>
                <c:pt idx="8">
                  <c:v>Guide dogs</c:v>
                </c:pt>
                <c:pt idx="9">
                  <c:v>Information services</c:v>
                </c:pt>
                <c:pt idx="10">
                  <c:v>Library services</c:v>
                </c:pt>
                <c:pt idx="11">
                  <c:v>Material in alternative formats</c:v>
                </c:pt>
                <c:pt idx="12">
                  <c:v>Optometry services</c:v>
                </c:pt>
                <c:pt idx="13">
                  <c:v>Orientation and mobility training</c:v>
                </c:pt>
                <c:pt idx="14">
                  <c:v>Other</c:v>
                </c:pt>
                <c:pt idx="15">
                  <c:v>Recreation and leisure activities</c:v>
                </c:pt>
                <c:pt idx="16">
                  <c:v>Research</c:v>
                </c:pt>
              </c:strCache>
            </c:strRef>
          </c:cat>
          <c:val>
            <c:numRef>
              <c:f>Sheet3!$B$2:$B$18</c:f>
              <c:numCache>
                <c:formatCode>0%</c:formatCode>
                <c:ptCount val="17"/>
                <c:pt idx="0">
                  <c:v>1</c:v>
                </c:pt>
                <c:pt idx="1">
                  <c:v>0.64</c:v>
                </c:pt>
                <c:pt idx="2">
                  <c:v>0.93</c:v>
                </c:pt>
                <c:pt idx="3">
                  <c:v>0.88</c:v>
                </c:pt>
                <c:pt idx="4">
                  <c:v>1</c:v>
                </c:pt>
                <c:pt idx="5">
                  <c:v>0.86</c:v>
                </c:pt>
                <c:pt idx="6">
                  <c:v>0.67</c:v>
                </c:pt>
                <c:pt idx="7">
                  <c:v>0.7</c:v>
                </c:pt>
                <c:pt idx="8">
                  <c:v>0.86</c:v>
                </c:pt>
                <c:pt idx="9">
                  <c:v>0.69</c:v>
                </c:pt>
                <c:pt idx="10">
                  <c:v>0.5</c:v>
                </c:pt>
                <c:pt idx="11">
                  <c:v>0.67</c:v>
                </c:pt>
                <c:pt idx="12">
                  <c:v>0.6</c:v>
                </c:pt>
                <c:pt idx="13">
                  <c:v>0.78</c:v>
                </c:pt>
                <c:pt idx="14">
                  <c:v>0.5</c:v>
                </c:pt>
                <c:pt idx="15">
                  <c:v>0.78</c:v>
                </c:pt>
                <c:pt idx="16">
                  <c:v>0.67</c:v>
                </c:pt>
              </c:numCache>
            </c:numRef>
          </c:val>
        </c:ser>
        <c:ser>
          <c:idx val="1"/>
          <c:order val="1"/>
          <c:tx>
            <c:strRef>
              <c:f>Sheet3!$C$1</c:f>
              <c:strCache>
                <c:ptCount val="1"/>
                <c:pt idx="0">
                  <c:v>Demand remained the same</c:v>
                </c:pt>
              </c:strCache>
            </c:strRef>
          </c:tx>
          <c:invertIfNegative val="0"/>
          <c:cat>
            <c:strRef>
              <c:f>Sheet3!$A$2:$A$18</c:f>
              <c:strCache>
                <c:ptCount val="17"/>
                <c:pt idx="0">
                  <c:v>Activities of daily living</c:v>
                </c:pt>
                <c:pt idx="1">
                  <c:v>Advocacy or advisory</c:v>
                </c:pt>
                <c:pt idx="2">
                  <c:v>Aids, equipment &amp; assistive technology</c:v>
                </c:pt>
                <c:pt idx="3">
                  <c:v>Community awareness/community education</c:v>
                </c:pt>
                <c:pt idx="4">
                  <c:v>Counselling</c:v>
                </c:pt>
                <c:pt idx="5">
                  <c:v>Education support</c:v>
                </c:pt>
                <c:pt idx="6">
                  <c:v>Employment services</c:v>
                </c:pt>
                <c:pt idx="7">
                  <c:v>Fundraising</c:v>
                </c:pt>
                <c:pt idx="8">
                  <c:v>Guide dogs</c:v>
                </c:pt>
                <c:pt idx="9">
                  <c:v>Information services</c:v>
                </c:pt>
                <c:pt idx="10">
                  <c:v>Library services</c:v>
                </c:pt>
                <c:pt idx="11">
                  <c:v>Material in alternative formats</c:v>
                </c:pt>
                <c:pt idx="12">
                  <c:v>Optometry services</c:v>
                </c:pt>
                <c:pt idx="13">
                  <c:v>Orientation and mobility training</c:v>
                </c:pt>
                <c:pt idx="14">
                  <c:v>Other</c:v>
                </c:pt>
                <c:pt idx="15">
                  <c:v>Recreation and leisure activities</c:v>
                </c:pt>
                <c:pt idx="16">
                  <c:v>Research</c:v>
                </c:pt>
              </c:strCache>
            </c:strRef>
          </c:cat>
          <c:val>
            <c:numRef>
              <c:f>Sheet3!$C$2:$C$18</c:f>
              <c:numCache>
                <c:formatCode>0%</c:formatCode>
                <c:ptCount val="17"/>
                <c:pt idx="0">
                  <c:v>0</c:v>
                </c:pt>
                <c:pt idx="1">
                  <c:v>0.36</c:v>
                </c:pt>
                <c:pt idx="2">
                  <c:v>7.0000000000000007E-2</c:v>
                </c:pt>
                <c:pt idx="3">
                  <c:v>0.12</c:v>
                </c:pt>
                <c:pt idx="4">
                  <c:v>0</c:v>
                </c:pt>
                <c:pt idx="5">
                  <c:v>0.14000000000000001</c:v>
                </c:pt>
                <c:pt idx="6">
                  <c:v>0</c:v>
                </c:pt>
                <c:pt idx="7">
                  <c:v>0.3</c:v>
                </c:pt>
                <c:pt idx="8">
                  <c:v>0</c:v>
                </c:pt>
                <c:pt idx="9">
                  <c:v>0.31</c:v>
                </c:pt>
                <c:pt idx="10">
                  <c:v>0.5</c:v>
                </c:pt>
                <c:pt idx="11">
                  <c:v>0.33</c:v>
                </c:pt>
                <c:pt idx="12">
                  <c:v>0.2</c:v>
                </c:pt>
                <c:pt idx="13">
                  <c:v>0.22</c:v>
                </c:pt>
                <c:pt idx="14">
                  <c:v>0.5</c:v>
                </c:pt>
                <c:pt idx="15">
                  <c:v>0.11</c:v>
                </c:pt>
                <c:pt idx="16">
                  <c:v>0.33</c:v>
                </c:pt>
              </c:numCache>
            </c:numRef>
          </c:val>
        </c:ser>
        <c:ser>
          <c:idx val="2"/>
          <c:order val="2"/>
          <c:tx>
            <c:strRef>
              <c:f>Sheet3!$D$1</c:f>
              <c:strCache>
                <c:ptCount val="1"/>
                <c:pt idx="0">
                  <c:v>Demand decreased</c:v>
                </c:pt>
              </c:strCache>
            </c:strRef>
          </c:tx>
          <c:invertIfNegative val="0"/>
          <c:cat>
            <c:strRef>
              <c:f>Sheet3!$A$2:$A$18</c:f>
              <c:strCache>
                <c:ptCount val="17"/>
                <c:pt idx="0">
                  <c:v>Activities of daily living</c:v>
                </c:pt>
                <c:pt idx="1">
                  <c:v>Advocacy or advisory</c:v>
                </c:pt>
                <c:pt idx="2">
                  <c:v>Aids, equipment &amp; assistive technology</c:v>
                </c:pt>
                <c:pt idx="3">
                  <c:v>Community awareness/community education</c:v>
                </c:pt>
                <c:pt idx="4">
                  <c:v>Counselling</c:v>
                </c:pt>
                <c:pt idx="5">
                  <c:v>Education support</c:v>
                </c:pt>
                <c:pt idx="6">
                  <c:v>Employment services</c:v>
                </c:pt>
                <c:pt idx="7">
                  <c:v>Fundraising</c:v>
                </c:pt>
                <c:pt idx="8">
                  <c:v>Guide dogs</c:v>
                </c:pt>
                <c:pt idx="9">
                  <c:v>Information services</c:v>
                </c:pt>
                <c:pt idx="10">
                  <c:v>Library services</c:v>
                </c:pt>
                <c:pt idx="11">
                  <c:v>Material in alternative formats</c:v>
                </c:pt>
                <c:pt idx="12">
                  <c:v>Optometry services</c:v>
                </c:pt>
                <c:pt idx="13">
                  <c:v>Orientation and mobility training</c:v>
                </c:pt>
                <c:pt idx="14">
                  <c:v>Other</c:v>
                </c:pt>
                <c:pt idx="15">
                  <c:v>Recreation and leisure activities</c:v>
                </c:pt>
                <c:pt idx="16">
                  <c:v>Research</c:v>
                </c:pt>
              </c:strCache>
            </c:strRef>
          </c:cat>
          <c:val>
            <c:numRef>
              <c:f>Sheet3!$D$2:$D$18</c:f>
              <c:numCache>
                <c:formatCode>0%</c:formatCode>
                <c:ptCount val="17"/>
                <c:pt idx="0">
                  <c:v>0</c:v>
                </c:pt>
                <c:pt idx="1">
                  <c:v>0</c:v>
                </c:pt>
                <c:pt idx="2">
                  <c:v>0</c:v>
                </c:pt>
                <c:pt idx="3">
                  <c:v>0</c:v>
                </c:pt>
                <c:pt idx="4">
                  <c:v>0</c:v>
                </c:pt>
                <c:pt idx="5">
                  <c:v>0</c:v>
                </c:pt>
                <c:pt idx="6">
                  <c:v>0.33</c:v>
                </c:pt>
                <c:pt idx="7">
                  <c:v>0</c:v>
                </c:pt>
                <c:pt idx="8">
                  <c:v>0.14000000000000001</c:v>
                </c:pt>
                <c:pt idx="9">
                  <c:v>0</c:v>
                </c:pt>
                <c:pt idx="10">
                  <c:v>0</c:v>
                </c:pt>
                <c:pt idx="11">
                  <c:v>0</c:v>
                </c:pt>
                <c:pt idx="12">
                  <c:v>0.2</c:v>
                </c:pt>
                <c:pt idx="13">
                  <c:v>0</c:v>
                </c:pt>
                <c:pt idx="14">
                  <c:v>0</c:v>
                </c:pt>
                <c:pt idx="15">
                  <c:v>0.11</c:v>
                </c:pt>
                <c:pt idx="16">
                  <c:v>0</c:v>
                </c:pt>
              </c:numCache>
            </c:numRef>
          </c:val>
        </c:ser>
        <c:dLbls>
          <c:showLegendKey val="0"/>
          <c:showVal val="0"/>
          <c:showCatName val="0"/>
          <c:showSerName val="0"/>
          <c:showPercent val="0"/>
          <c:showBubbleSize val="0"/>
        </c:dLbls>
        <c:gapWidth val="150"/>
        <c:shape val="box"/>
        <c:axId val="51940736"/>
        <c:axId val="52028544"/>
        <c:axId val="0"/>
      </c:bar3DChart>
      <c:catAx>
        <c:axId val="51940736"/>
        <c:scaling>
          <c:orientation val="maxMin"/>
        </c:scaling>
        <c:delete val="0"/>
        <c:axPos val="l"/>
        <c:numFmt formatCode="General" sourceLinked="1"/>
        <c:majorTickMark val="out"/>
        <c:minorTickMark val="none"/>
        <c:tickLblPos val="nextTo"/>
        <c:crossAx val="52028544"/>
        <c:crosses val="autoZero"/>
        <c:auto val="0"/>
        <c:lblAlgn val="ctr"/>
        <c:lblOffset val="100"/>
        <c:tickLblSkip val="1"/>
        <c:noMultiLvlLbl val="0"/>
      </c:catAx>
      <c:valAx>
        <c:axId val="52028544"/>
        <c:scaling>
          <c:orientation val="minMax"/>
        </c:scaling>
        <c:delete val="0"/>
        <c:axPos val="b"/>
        <c:majorGridlines/>
        <c:numFmt formatCode="0%" sourceLinked="1"/>
        <c:majorTickMark val="out"/>
        <c:minorTickMark val="none"/>
        <c:tickLblPos val="nextTo"/>
        <c:crossAx val="51940736"/>
        <c:crosses val="max"/>
        <c:crossBetween val="between"/>
      </c:valAx>
      <c:spPr>
        <a:noFill/>
        <a:ln w="25399">
          <a:noFill/>
        </a:ln>
      </c:spPr>
    </c:plotArea>
    <c:legend>
      <c:legendPos val="r"/>
      <c:layout/>
      <c:overlay val="0"/>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56DE31-4A0E-4D38-A431-C58CADB037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5432</Words>
  <Characters>30965</Characters>
  <Application>Microsoft Office Word</Application>
  <DocSecurity>4</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 Oneill</dc:creator>
  <cp:lastModifiedBy>Leesa ClausenBrown</cp:lastModifiedBy>
  <cp:revision>2</cp:revision>
  <cp:lastPrinted>2015-08-26T04:45:00Z</cp:lastPrinted>
  <dcterms:created xsi:type="dcterms:W3CDTF">2015-08-26T06:40:00Z</dcterms:created>
  <dcterms:modified xsi:type="dcterms:W3CDTF">2015-08-26T06:40:00Z</dcterms:modified>
</cp:coreProperties>
</file>