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B2A315" w14:textId="77777777" w:rsidR="002106C4" w:rsidRPr="006759F6" w:rsidRDefault="00F95B80" w:rsidP="00706376">
      <w:pPr>
        <w:pStyle w:val="Title"/>
        <w:rPr>
          <w:color w:val="FFFFFF" w:themeColor="background1"/>
        </w:rPr>
      </w:pPr>
      <w:bookmarkStart w:id="0" w:name="Cover"/>
      <w:r>
        <w:rPr>
          <w:rStyle w:val="DocTitle"/>
          <w:color w:val="FFFFFF" w:themeColor="background1"/>
        </w:rPr>
        <w:t>DFAT</w:t>
      </w:r>
      <w:r w:rsidR="00303628">
        <w:rPr>
          <w:rStyle w:val="DocTitle"/>
          <w:color w:val="FFFFFF" w:themeColor="background1"/>
        </w:rPr>
        <w:t xml:space="preserve"> Soft Power Review</w:t>
      </w:r>
    </w:p>
    <w:p w14:paraId="34273C03" w14:textId="77777777" w:rsidR="00706376" w:rsidRPr="009D0FE7" w:rsidRDefault="00303628" w:rsidP="00EC3CE8">
      <w:pPr>
        <w:pStyle w:val="Subtitle"/>
        <w:rPr>
          <w:color w:val="FFFFFF" w:themeColor="background1"/>
          <w:szCs w:val="26"/>
        </w:rPr>
      </w:pPr>
      <w:r w:rsidRPr="009D0FE7">
        <w:rPr>
          <w:rStyle w:val="DocSubtitle"/>
          <w:color w:val="FFFFFF" w:themeColor="background1"/>
          <w:szCs w:val="26"/>
        </w:rPr>
        <w:t xml:space="preserve">Inclusive Eye Health </w:t>
      </w:r>
      <w:r w:rsidR="001A642C" w:rsidRPr="009D0FE7">
        <w:rPr>
          <w:rStyle w:val="DocSubtitle"/>
          <w:color w:val="FFFFFF" w:themeColor="background1"/>
          <w:szCs w:val="26"/>
        </w:rPr>
        <w:t xml:space="preserve">and Vision Care </w:t>
      </w:r>
      <w:r w:rsidRPr="009D0FE7">
        <w:rPr>
          <w:rStyle w:val="DocSubtitle"/>
          <w:color w:val="FFFFFF" w:themeColor="background1"/>
          <w:szCs w:val="26"/>
        </w:rPr>
        <w:t>as a Soft Power Asset</w:t>
      </w:r>
    </w:p>
    <w:p w14:paraId="603621B2" w14:textId="1A29C2E9" w:rsidR="00706376" w:rsidRPr="009D0FE7" w:rsidRDefault="002650D5" w:rsidP="00EC3CE8">
      <w:pPr>
        <w:pStyle w:val="Subtitle"/>
        <w:rPr>
          <w:color w:val="FFFFFF" w:themeColor="background1"/>
          <w:sz w:val="24"/>
          <w:szCs w:val="22"/>
        </w:rPr>
      </w:pPr>
      <w:r>
        <w:rPr>
          <w:color w:val="FFFFFF" w:themeColor="background1"/>
          <w:sz w:val="24"/>
          <w:szCs w:val="22"/>
        </w:rPr>
        <w:t>October</w:t>
      </w:r>
      <w:r w:rsidR="00303628" w:rsidRPr="009D0FE7">
        <w:rPr>
          <w:color w:val="FFFFFF" w:themeColor="background1"/>
          <w:sz w:val="24"/>
          <w:szCs w:val="22"/>
        </w:rPr>
        <w:t xml:space="preserve"> 2018</w:t>
      </w:r>
    </w:p>
    <w:bookmarkEnd w:id="0"/>
    <w:p w14:paraId="17B78501" w14:textId="77777777" w:rsidR="002A590E" w:rsidRDefault="002A590E" w:rsidP="00817D6F">
      <w:pPr>
        <w:pStyle w:val="BodyText"/>
      </w:pPr>
    </w:p>
    <w:p w14:paraId="76763AF2" w14:textId="77777777" w:rsidR="002A590E" w:rsidRDefault="002A590E" w:rsidP="00817D6F">
      <w:pPr>
        <w:pStyle w:val="BodyText"/>
        <w:sectPr w:rsidR="002A590E" w:rsidSect="00EC3CE8">
          <w:headerReference w:type="default" r:id="rId8"/>
          <w:footerReference w:type="first" r:id="rId9"/>
          <w:pgSz w:w="11906" w:h="16838" w:code="9"/>
          <w:pgMar w:top="6237" w:right="2325" w:bottom="1418" w:left="1134" w:header="369" w:footer="635" w:gutter="0"/>
          <w:cols w:space="708"/>
          <w:docGrid w:linePitch="360"/>
        </w:sectPr>
      </w:pPr>
    </w:p>
    <w:p w14:paraId="30C04FF9" w14:textId="77777777" w:rsidR="009E3BCF" w:rsidRDefault="009E3BCF" w:rsidP="009E3BCF">
      <w:pPr>
        <w:pStyle w:val="TOCHeading"/>
      </w:pPr>
      <w:r>
        <w:lastRenderedPageBreak/>
        <w:t>Contents</w:t>
      </w:r>
    </w:p>
    <w:p w14:paraId="6D424F1C" w14:textId="55DA7E28" w:rsidR="00326314" w:rsidRDefault="00AA7024" w:rsidP="00326314">
      <w:pPr>
        <w:pStyle w:val="TOC2"/>
        <w:spacing w:line="360" w:lineRule="auto"/>
        <w:rPr>
          <w:rFonts w:eastAsiaTheme="minorEastAsia"/>
          <w:lang w:eastAsia="en-AU"/>
        </w:rPr>
      </w:pPr>
      <w:r>
        <w:rPr>
          <w:b/>
          <w:lang w:eastAsia="en-AU"/>
        </w:rPr>
        <w:fldChar w:fldCharType="begin"/>
      </w:r>
      <w:r>
        <w:rPr>
          <w:lang w:eastAsia="en-AU"/>
        </w:rPr>
        <w:instrText xml:space="preserve"> TOC \h \z \t "Heading 1,1,Heading 2,2,Nbr Heading 1,4,Nbr Heading 2,5" </w:instrText>
      </w:r>
      <w:r>
        <w:rPr>
          <w:b/>
          <w:lang w:eastAsia="en-AU"/>
        </w:rPr>
        <w:fldChar w:fldCharType="separate"/>
      </w:r>
      <w:hyperlink w:anchor="_Toc527025394" w:history="1">
        <w:r w:rsidR="00326314" w:rsidRPr="00B67FBE">
          <w:rPr>
            <w:rStyle w:val="Hyperlink"/>
          </w:rPr>
          <w:t>Summary of Recommendations</w:t>
        </w:r>
        <w:r w:rsidR="00326314">
          <w:rPr>
            <w:webHidden/>
          </w:rPr>
          <w:tab/>
        </w:r>
        <w:r w:rsidR="00326314">
          <w:rPr>
            <w:webHidden/>
          </w:rPr>
          <w:fldChar w:fldCharType="begin"/>
        </w:r>
        <w:r w:rsidR="00326314">
          <w:rPr>
            <w:webHidden/>
          </w:rPr>
          <w:instrText xml:space="preserve"> PAGEREF _Toc527025394 \h </w:instrText>
        </w:r>
        <w:r w:rsidR="00326314">
          <w:rPr>
            <w:webHidden/>
          </w:rPr>
        </w:r>
        <w:r w:rsidR="00326314">
          <w:rPr>
            <w:webHidden/>
          </w:rPr>
          <w:fldChar w:fldCharType="separate"/>
        </w:r>
        <w:r w:rsidR="002650D5">
          <w:rPr>
            <w:webHidden/>
          </w:rPr>
          <w:t>3</w:t>
        </w:r>
        <w:r w:rsidR="00326314">
          <w:rPr>
            <w:webHidden/>
          </w:rPr>
          <w:fldChar w:fldCharType="end"/>
        </w:r>
      </w:hyperlink>
    </w:p>
    <w:p w14:paraId="23E1DA5D" w14:textId="798D520A" w:rsidR="00326314" w:rsidRDefault="008A1E5D" w:rsidP="00326314">
      <w:pPr>
        <w:pStyle w:val="TOC2"/>
        <w:spacing w:line="360" w:lineRule="auto"/>
        <w:rPr>
          <w:rFonts w:eastAsiaTheme="minorEastAsia"/>
          <w:lang w:eastAsia="en-AU"/>
        </w:rPr>
      </w:pPr>
      <w:hyperlink w:anchor="_Toc527025395" w:history="1">
        <w:r w:rsidR="00326314" w:rsidRPr="00B67FBE">
          <w:rPr>
            <w:rStyle w:val="Hyperlink"/>
          </w:rPr>
          <w:t>Introduction and context</w:t>
        </w:r>
        <w:r w:rsidR="00326314">
          <w:rPr>
            <w:webHidden/>
          </w:rPr>
          <w:tab/>
        </w:r>
        <w:r w:rsidR="00326314">
          <w:rPr>
            <w:webHidden/>
          </w:rPr>
          <w:fldChar w:fldCharType="begin"/>
        </w:r>
        <w:r w:rsidR="00326314">
          <w:rPr>
            <w:webHidden/>
          </w:rPr>
          <w:instrText xml:space="preserve"> PAGEREF _Toc527025395 \h </w:instrText>
        </w:r>
        <w:r w:rsidR="00326314">
          <w:rPr>
            <w:webHidden/>
          </w:rPr>
        </w:r>
        <w:r w:rsidR="00326314">
          <w:rPr>
            <w:webHidden/>
          </w:rPr>
          <w:fldChar w:fldCharType="separate"/>
        </w:r>
        <w:r w:rsidR="002650D5">
          <w:rPr>
            <w:webHidden/>
          </w:rPr>
          <w:t>4</w:t>
        </w:r>
        <w:r w:rsidR="00326314">
          <w:rPr>
            <w:webHidden/>
          </w:rPr>
          <w:fldChar w:fldCharType="end"/>
        </w:r>
      </w:hyperlink>
    </w:p>
    <w:p w14:paraId="2A82D88F" w14:textId="07A84111" w:rsidR="00326314" w:rsidRDefault="008A1E5D" w:rsidP="00326314">
      <w:pPr>
        <w:pStyle w:val="TOC2"/>
        <w:spacing w:line="360" w:lineRule="auto"/>
        <w:rPr>
          <w:rFonts w:eastAsiaTheme="minorEastAsia"/>
          <w:lang w:eastAsia="en-AU"/>
        </w:rPr>
      </w:pPr>
      <w:hyperlink w:anchor="_Toc527025396" w:history="1">
        <w:r w:rsidR="00326314" w:rsidRPr="00B67FBE">
          <w:rPr>
            <w:rStyle w:val="Hyperlink"/>
          </w:rPr>
          <w:t>Generosity and Australia Aid</w:t>
        </w:r>
        <w:r w:rsidR="00326314">
          <w:rPr>
            <w:webHidden/>
          </w:rPr>
          <w:tab/>
        </w:r>
        <w:r w:rsidR="00326314">
          <w:rPr>
            <w:webHidden/>
          </w:rPr>
          <w:fldChar w:fldCharType="begin"/>
        </w:r>
        <w:r w:rsidR="00326314">
          <w:rPr>
            <w:webHidden/>
          </w:rPr>
          <w:instrText xml:space="preserve"> PAGEREF _Toc527025396 \h </w:instrText>
        </w:r>
        <w:r w:rsidR="00326314">
          <w:rPr>
            <w:webHidden/>
          </w:rPr>
        </w:r>
        <w:r w:rsidR="00326314">
          <w:rPr>
            <w:webHidden/>
          </w:rPr>
          <w:fldChar w:fldCharType="separate"/>
        </w:r>
        <w:r w:rsidR="002650D5">
          <w:rPr>
            <w:webHidden/>
          </w:rPr>
          <w:t>5</w:t>
        </w:r>
        <w:r w:rsidR="00326314">
          <w:rPr>
            <w:webHidden/>
          </w:rPr>
          <w:fldChar w:fldCharType="end"/>
        </w:r>
      </w:hyperlink>
    </w:p>
    <w:p w14:paraId="78BAB751" w14:textId="6AB7C025" w:rsidR="00326314" w:rsidRDefault="008A1E5D" w:rsidP="00326314">
      <w:pPr>
        <w:pStyle w:val="TOC2"/>
        <w:spacing w:line="360" w:lineRule="auto"/>
        <w:rPr>
          <w:rFonts w:eastAsiaTheme="minorEastAsia"/>
          <w:lang w:eastAsia="en-AU"/>
        </w:rPr>
      </w:pPr>
      <w:hyperlink w:anchor="_Toc527025397" w:history="1">
        <w:r w:rsidR="00326314" w:rsidRPr="00B67FBE">
          <w:rPr>
            <w:rStyle w:val="Hyperlink"/>
          </w:rPr>
          <w:t>Interpersonal linkages</w:t>
        </w:r>
        <w:r w:rsidR="00326314">
          <w:rPr>
            <w:webHidden/>
          </w:rPr>
          <w:tab/>
        </w:r>
        <w:r w:rsidR="00326314">
          <w:rPr>
            <w:webHidden/>
          </w:rPr>
          <w:fldChar w:fldCharType="begin"/>
        </w:r>
        <w:r w:rsidR="00326314">
          <w:rPr>
            <w:webHidden/>
          </w:rPr>
          <w:instrText xml:space="preserve"> PAGEREF _Toc527025397 \h </w:instrText>
        </w:r>
        <w:r w:rsidR="00326314">
          <w:rPr>
            <w:webHidden/>
          </w:rPr>
        </w:r>
        <w:r w:rsidR="00326314">
          <w:rPr>
            <w:webHidden/>
          </w:rPr>
          <w:fldChar w:fldCharType="separate"/>
        </w:r>
        <w:r w:rsidR="002650D5">
          <w:rPr>
            <w:webHidden/>
          </w:rPr>
          <w:t>6</w:t>
        </w:r>
        <w:r w:rsidR="00326314">
          <w:rPr>
            <w:webHidden/>
          </w:rPr>
          <w:fldChar w:fldCharType="end"/>
        </w:r>
      </w:hyperlink>
    </w:p>
    <w:p w14:paraId="2E17A8AB" w14:textId="5F45A744" w:rsidR="00326314" w:rsidRDefault="008A1E5D" w:rsidP="00326314">
      <w:pPr>
        <w:pStyle w:val="TOC2"/>
        <w:spacing w:line="360" w:lineRule="auto"/>
        <w:rPr>
          <w:rFonts w:eastAsiaTheme="minorEastAsia"/>
          <w:lang w:eastAsia="en-AU"/>
        </w:rPr>
      </w:pPr>
      <w:hyperlink w:anchor="_Toc527025398" w:history="1">
        <w:r w:rsidR="00326314" w:rsidRPr="00B67FBE">
          <w:rPr>
            <w:rStyle w:val="Hyperlink"/>
          </w:rPr>
          <w:t>Australia’s role in supporting eye health in the Indo-Pacific</w:t>
        </w:r>
        <w:r w:rsidR="00326314">
          <w:rPr>
            <w:webHidden/>
          </w:rPr>
          <w:tab/>
        </w:r>
        <w:r w:rsidR="00326314">
          <w:rPr>
            <w:webHidden/>
          </w:rPr>
          <w:fldChar w:fldCharType="begin"/>
        </w:r>
        <w:r w:rsidR="00326314">
          <w:rPr>
            <w:webHidden/>
          </w:rPr>
          <w:instrText xml:space="preserve"> PAGEREF _Toc527025398 \h </w:instrText>
        </w:r>
        <w:r w:rsidR="00326314">
          <w:rPr>
            <w:webHidden/>
          </w:rPr>
        </w:r>
        <w:r w:rsidR="00326314">
          <w:rPr>
            <w:webHidden/>
          </w:rPr>
          <w:fldChar w:fldCharType="separate"/>
        </w:r>
        <w:r w:rsidR="002650D5">
          <w:rPr>
            <w:webHidden/>
          </w:rPr>
          <w:t>7</w:t>
        </w:r>
        <w:r w:rsidR="00326314">
          <w:rPr>
            <w:webHidden/>
          </w:rPr>
          <w:fldChar w:fldCharType="end"/>
        </w:r>
      </w:hyperlink>
    </w:p>
    <w:p w14:paraId="5CAE86E7" w14:textId="3316AEBA" w:rsidR="00326314" w:rsidRDefault="008A1E5D" w:rsidP="00326314">
      <w:pPr>
        <w:pStyle w:val="TOC2"/>
        <w:spacing w:line="360" w:lineRule="auto"/>
        <w:rPr>
          <w:rFonts w:eastAsiaTheme="minorEastAsia"/>
          <w:lang w:eastAsia="en-AU"/>
        </w:rPr>
      </w:pPr>
      <w:hyperlink w:anchor="_Toc527025399" w:history="1">
        <w:r w:rsidR="00326314" w:rsidRPr="00B67FBE">
          <w:rPr>
            <w:rStyle w:val="Hyperlink"/>
          </w:rPr>
          <w:t>Capacity building</w:t>
        </w:r>
        <w:r w:rsidR="00326314">
          <w:rPr>
            <w:webHidden/>
          </w:rPr>
          <w:tab/>
        </w:r>
        <w:r w:rsidR="00326314">
          <w:rPr>
            <w:webHidden/>
          </w:rPr>
          <w:fldChar w:fldCharType="begin"/>
        </w:r>
        <w:r w:rsidR="00326314">
          <w:rPr>
            <w:webHidden/>
          </w:rPr>
          <w:instrText xml:space="preserve"> PAGEREF _Toc527025399 \h </w:instrText>
        </w:r>
        <w:r w:rsidR="00326314">
          <w:rPr>
            <w:webHidden/>
          </w:rPr>
        </w:r>
        <w:r w:rsidR="00326314">
          <w:rPr>
            <w:webHidden/>
          </w:rPr>
          <w:fldChar w:fldCharType="separate"/>
        </w:r>
        <w:r w:rsidR="002650D5">
          <w:rPr>
            <w:webHidden/>
          </w:rPr>
          <w:t>8</w:t>
        </w:r>
        <w:r w:rsidR="00326314">
          <w:rPr>
            <w:webHidden/>
          </w:rPr>
          <w:fldChar w:fldCharType="end"/>
        </w:r>
      </w:hyperlink>
    </w:p>
    <w:p w14:paraId="2E7A4381" w14:textId="2FD395A4" w:rsidR="00326314" w:rsidRDefault="008A1E5D" w:rsidP="00326314">
      <w:pPr>
        <w:pStyle w:val="TOC2"/>
        <w:spacing w:line="360" w:lineRule="auto"/>
        <w:rPr>
          <w:rFonts w:eastAsiaTheme="minorEastAsia"/>
          <w:lang w:eastAsia="en-AU"/>
        </w:rPr>
      </w:pPr>
      <w:hyperlink w:anchor="_Toc527025400" w:history="1">
        <w:r w:rsidR="00326314" w:rsidRPr="00B67FBE">
          <w:rPr>
            <w:rStyle w:val="Hyperlink"/>
          </w:rPr>
          <w:t>Research, science and technological advancement</w:t>
        </w:r>
        <w:r w:rsidR="00326314">
          <w:rPr>
            <w:webHidden/>
          </w:rPr>
          <w:tab/>
        </w:r>
        <w:r w:rsidR="00326314">
          <w:rPr>
            <w:webHidden/>
          </w:rPr>
          <w:fldChar w:fldCharType="begin"/>
        </w:r>
        <w:r w:rsidR="00326314">
          <w:rPr>
            <w:webHidden/>
          </w:rPr>
          <w:instrText xml:space="preserve"> PAGEREF _Toc527025400 \h </w:instrText>
        </w:r>
        <w:r w:rsidR="00326314">
          <w:rPr>
            <w:webHidden/>
          </w:rPr>
        </w:r>
        <w:r w:rsidR="00326314">
          <w:rPr>
            <w:webHidden/>
          </w:rPr>
          <w:fldChar w:fldCharType="separate"/>
        </w:r>
        <w:r w:rsidR="002650D5">
          <w:rPr>
            <w:webHidden/>
          </w:rPr>
          <w:t>9</w:t>
        </w:r>
        <w:r w:rsidR="00326314">
          <w:rPr>
            <w:webHidden/>
          </w:rPr>
          <w:fldChar w:fldCharType="end"/>
        </w:r>
      </w:hyperlink>
    </w:p>
    <w:p w14:paraId="237C81CF" w14:textId="6EE58001" w:rsidR="00326314" w:rsidRDefault="008A1E5D" w:rsidP="00326314">
      <w:pPr>
        <w:pStyle w:val="TOC2"/>
        <w:spacing w:line="360" w:lineRule="auto"/>
        <w:rPr>
          <w:rFonts w:eastAsiaTheme="minorEastAsia"/>
          <w:lang w:eastAsia="en-AU"/>
        </w:rPr>
      </w:pPr>
      <w:hyperlink w:anchor="_Toc527025401" w:history="1">
        <w:r w:rsidR="00326314" w:rsidRPr="00B67FBE">
          <w:rPr>
            <w:rStyle w:val="Hyperlink"/>
          </w:rPr>
          <w:t>Guarding against the increasing prevalence of myopia and non-communicable diseases such as diabetic retinopathy</w:t>
        </w:r>
        <w:r w:rsidR="00326314">
          <w:rPr>
            <w:webHidden/>
          </w:rPr>
          <w:tab/>
        </w:r>
        <w:r w:rsidR="00326314">
          <w:rPr>
            <w:webHidden/>
          </w:rPr>
          <w:fldChar w:fldCharType="begin"/>
        </w:r>
        <w:r w:rsidR="00326314">
          <w:rPr>
            <w:webHidden/>
          </w:rPr>
          <w:instrText xml:space="preserve"> PAGEREF _Toc527025401 \h </w:instrText>
        </w:r>
        <w:r w:rsidR="00326314">
          <w:rPr>
            <w:webHidden/>
          </w:rPr>
        </w:r>
        <w:r w:rsidR="00326314">
          <w:rPr>
            <w:webHidden/>
          </w:rPr>
          <w:fldChar w:fldCharType="separate"/>
        </w:r>
        <w:r w:rsidR="002650D5">
          <w:rPr>
            <w:webHidden/>
          </w:rPr>
          <w:t>11</w:t>
        </w:r>
        <w:r w:rsidR="00326314">
          <w:rPr>
            <w:webHidden/>
          </w:rPr>
          <w:fldChar w:fldCharType="end"/>
        </w:r>
      </w:hyperlink>
    </w:p>
    <w:p w14:paraId="7A8CA2C9" w14:textId="60DDA16C" w:rsidR="00326314" w:rsidRDefault="008A1E5D" w:rsidP="00326314">
      <w:pPr>
        <w:pStyle w:val="TOC2"/>
        <w:spacing w:line="360" w:lineRule="auto"/>
        <w:rPr>
          <w:rFonts w:eastAsiaTheme="minorEastAsia"/>
          <w:lang w:eastAsia="en-AU"/>
        </w:rPr>
      </w:pPr>
      <w:hyperlink w:anchor="_Toc527025402" w:history="1">
        <w:r w:rsidR="00326314" w:rsidRPr="00B67FBE">
          <w:rPr>
            <w:rStyle w:val="Hyperlink"/>
          </w:rPr>
          <w:t>Conclusion</w:t>
        </w:r>
        <w:r w:rsidR="00326314">
          <w:rPr>
            <w:webHidden/>
          </w:rPr>
          <w:tab/>
        </w:r>
        <w:r w:rsidR="00326314">
          <w:rPr>
            <w:webHidden/>
          </w:rPr>
          <w:fldChar w:fldCharType="begin"/>
        </w:r>
        <w:r w:rsidR="00326314">
          <w:rPr>
            <w:webHidden/>
          </w:rPr>
          <w:instrText xml:space="preserve"> PAGEREF _Toc527025402 \h </w:instrText>
        </w:r>
        <w:r w:rsidR="00326314">
          <w:rPr>
            <w:webHidden/>
          </w:rPr>
        </w:r>
        <w:r w:rsidR="00326314">
          <w:rPr>
            <w:webHidden/>
          </w:rPr>
          <w:fldChar w:fldCharType="separate"/>
        </w:r>
        <w:r w:rsidR="002650D5">
          <w:rPr>
            <w:webHidden/>
          </w:rPr>
          <w:t>12</w:t>
        </w:r>
        <w:r w:rsidR="00326314">
          <w:rPr>
            <w:webHidden/>
          </w:rPr>
          <w:fldChar w:fldCharType="end"/>
        </w:r>
      </w:hyperlink>
    </w:p>
    <w:p w14:paraId="004DE8E4" w14:textId="14C62B0E" w:rsidR="00326314" w:rsidRDefault="008A1E5D" w:rsidP="00326314">
      <w:pPr>
        <w:pStyle w:val="TOC2"/>
        <w:spacing w:line="360" w:lineRule="auto"/>
        <w:rPr>
          <w:rFonts w:eastAsiaTheme="minorEastAsia"/>
          <w:lang w:eastAsia="en-AU"/>
        </w:rPr>
      </w:pPr>
      <w:hyperlink w:anchor="_Toc527025403" w:history="1">
        <w:r w:rsidR="00326314" w:rsidRPr="00B67FBE">
          <w:rPr>
            <w:rStyle w:val="Hyperlink"/>
          </w:rPr>
          <w:t>References</w:t>
        </w:r>
        <w:r w:rsidR="00326314">
          <w:rPr>
            <w:webHidden/>
          </w:rPr>
          <w:tab/>
        </w:r>
        <w:r w:rsidR="00326314">
          <w:rPr>
            <w:webHidden/>
          </w:rPr>
          <w:fldChar w:fldCharType="begin"/>
        </w:r>
        <w:r w:rsidR="00326314">
          <w:rPr>
            <w:webHidden/>
          </w:rPr>
          <w:instrText xml:space="preserve"> PAGEREF _Toc527025403 \h </w:instrText>
        </w:r>
        <w:r w:rsidR="00326314">
          <w:rPr>
            <w:webHidden/>
          </w:rPr>
        </w:r>
        <w:r w:rsidR="00326314">
          <w:rPr>
            <w:webHidden/>
          </w:rPr>
          <w:fldChar w:fldCharType="separate"/>
        </w:r>
        <w:r w:rsidR="002650D5">
          <w:rPr>
            <w:webHidden/>
          </w:rPr>
          <w:t>13</w:t>
        </w:r>
        <w:r w:rsidR="00326314">
          <w:rPr>
            <w:webHidden/>
          </w:rPr>
          <w:fldChar w:fldCharType="end"/>
        </w:r>
      </w:hyperlink>
    </w:p>
    <w:p w14:paraId="17D82942" w14:textId="5FB2E684" w:rsidR="00DF74A2" w:rsidRPr="00DF74A2" w:rsidRDefault="00AA7024" w:rsidP="003D6D1C">
      <w:pPr>
        <w:pStyle w:val="Heading2"/>
        <w:pageBreakBefore/>
        <w:spacing w:line="480" w:lineRule="auto"/>
      </w:pPr>
      <w:r>
        <w:rPr>
          <w:noProof/>
        </w:rPr>
        <w:lastRenderedPageBreak/>
        <w:fldChar w:fldCharType="end"/>
      </w:r>
      <w:r w:rsidR="00DF74A2" w:rsidRPr="00DF74A2">
        <w:t xml:space="preserve"> </w:t>
      </w:r>
      <w:bookmarkStart w:id="1" w:name="_Toc527025394"/>
      <w:r w:rsidR="00DF74A2" w:rsidRPr="00DF74A2">
        <w:t>Summary of Recommendations</w:t>
      </w:r>
      <w:bookmarkEnd w:id="1"/>
    </w:p>
    <w:p w14:paraId="6F603D1D" w14:textId="7C5A354E" w:rsidR="00326314" w:rsidRPr="00326314" w:rsidRDefault="00326314" w:rsidP="00326314">
      <w:pPr>
        <w:numPr>
          <w:ilvl w:val="0"/>
          <w:numId w:val="3"/>
        </w:numPr>
        <w:spacing w:before="120" w:after="120" w:line="264" w:lineRule="auto"/>
        <w:rPr>
          <w:rFonts w:eastAsia="Times New Roman" w:cs="Times New Roman"/>
          <w:szCs w:val="24"/>
          <w:lang w:eastAsia="en-AU"/>
        </w:rPr>
      </w:pPr>
      <w:r w:rsidRPr="00DF74A2">
        <w:rPr>
          <w:rFonts w:eastAsia="Calibri" w:cs="Times New Roman"/>
          <w:szCs w:val="24"/>
          <w:lang w:eastAsia="en-AU"/>
        </w:rPr>
        <w:t>The Australian Government should raise Official Development Assistance funding to 0.7% of Gross National Income by 2030 to enhance Australian influence in the Indo-Pacific.</w:t>
      </w:r>
    </w:p>
    <w:p w14:paraId="2ECE6835" w14:textId="77777777" w:rsidR="00326314" w:rsidRPr="004A5696" w:rsidRDefault="00326314" w:rsidP="00326314">
      <w:pPr>
        <w:pStyle w:val="ListNumber0"/>
        <w:numPr>
          <w:ilvl w:val="0"/>
          <w:numId w:val="3"/>
        </w:numPr>
      </w:pPr>
      <w:r w:rsidRPr="00E66AFC">
        <w:t xml:space="preserve">That the Australian Government expands </w:t>
      </w:r>
      <w:r>
        <w:t>eye health</w:t>
      </w:r>
      <w:r w:rsidRPr="00E66AFC">
        <w:t xml:space="preserve"> investment in the Indo-Pacific to continue to foster and expand on the essential interpersonal linkages that provide strong soft power opportunities for Australia</w:t>
      </w:r>
      <w:r>
        <w:t>.</w:t>
      </w:r>
    </w:p>
    <w:p w14:paraId="609F2F5C" w14:textId="56F2B930" w:rsidR="00326314" w:rsidRDefault="00326314" w:rsidP="00326314">
      <w:pPr>
        <w:pStyle w:val="ListNumber0"/>
        <w:numPr>
          <w:ilvl w:val="0"/>
          <w:numId w:val="3"/>
        </w:numPr>
      </w:pPr>
      <w:r w:rsidRPr="00E66AFC">
        <w:t>Australia continue</w:t>
      </w:r>
      <w:r>
        <w:t>s</w:t>
      </w:r>
      <w:r w:rsidRPr="00E66AFC">
        <w:t xml:space="preserve"> to provide leadership on eye health in the Indo-Pacific to help protect the significant gains that </w:t>
      </w:r>
      <w:proofErr w:type="gramStart"/>
      <w:r w:rsidRPr="00E66AFC">
        <w:t>have been made</w:t>
      </w:r>
      <w:proofErr w:type="gramEnd"/>
      <w:r w:rsidRPr="00E66AFC">
        <w:t xml:space="preserve"> and strive for the elimination of avoidable blindness</w:t>
      </w:r>
      <w:r>
        <w:t>.</w:t>
      </w:r>
    </w:p>
    <w:p w14:paraId="233E450C" w14:textId="77777777" w:rsidR="00326314" w:rsidRPr="00326314" w:rsidRDefault="00326314" w:rsidP="00326314">
      <w:pPr>
        <w:pStyle w:val="ListNumber0"/>
        <w:numPr>
          <w:ilvl w:val="0"/>
          <w:numId w:val="3"/>
        </w:numPr>
        <w:rPr>
          <w:rFonts w:eastAsia="Calibri"/>
        </w:rPr>
      </w:pPr>
      <w:r w:rsidRPr="00326314">
        <w:rPr>
          <w:rFonts w:eastAsia="Calibri"/>
        </w:rPr>
        <w:t>The Australian Government explores the implementation of new inclusive eye health programs to build upon previous successes in the Indo-Pacific.</w:t>
      </w:r>
    </w:p>
    <w:p w14:paraId="42878C32" w14:textId="73C6D353" w:rsidR="00326314" w:rsidRPr="00722392" w:rsidRDefault="00FB5715" w:rsidP="00326314">
      <w:pPr>
        <w:pStyle w:val="ListNumber0"/>
        <w:numPr>
          <w:ilvl w:val="0"/>
          <w:numId w:val="3"/>
        </w:numPr>
      </w:pPr>
      <w:r>
        <w:t>The Australian Government continues to</w:t>
      </w:r>
      <w:r w:rsidR="00326314" w:rsidRPr="00E66AFC">
        <w:t xml:space="preserve"> </w:t>
      </w:r>
      <w:r>
        <w:t>collaborate</w:t>
      </w:r>
      <w:r w:rsidR="00326314" w:rsidRPr="00E66AFC">
        <w:t xml:space="preserve"> with the eye health sector to further the reach of</w:t>
      </w:r>
      <w:r w:rsidR="00326314">
        <w:t xml:space="preserve"> technological advancements in a</w:t>
      </w:r>
      <w:r w:rsidR="00326314" w:rsidRPr="00E66AFC">
        <w:t xml:space="preserve">rtificial </w:t>
      </w:r>
      <w:r w:rsidR="00326314">
        <w:t>intelligence and t</w:t>
      </w:r>
      <w:r w:rsidR="00326314" w:rsidRPr="00E66AFC">
        <w:t>ele</w:t>
      </w:r>
      <w:r w:rsidR="00326314">
        <w:t>-</w:t>
      </w:r>
      <w:r w:rsidR="00326314" w:rsidRPr="00E66AFC">
        <w:t>ophthalmology into the Indo-Pacific.</w:t>
      </w:r>
    </w:p>
    <w:p w14:paraId="2970D1E6" w14:textId="77777777" w:rsidR="00326314" w:rsidRPr="00722392" w:rsidRDefault="00326314" w:rsidP="00326314">
      <w:pPr>
        <w:pStyle w:val="ListNumber0"/>
        <w:rPr>
          <w:rFonts w:eastAsia="Calibri"/>
        </w:rPr>
      </w:pPr>
      <w:r w:rsidRPr="00E66AFC">
        <w:rPr>
          <w:rFonts w:eastAsia="Calibri"/>
        </w:rPr>
        <w:t>The Australian Government expand</w:t>
      </w:r>
      <w:r>
        <w:rPr>
          <w:rFonts w:eastAsia="Calibri"/>
        </w:rPr>
        <w:t xml:space="preserve"> its</w:t>
      </w:r>
      <w:r w:rsidRPr="00E66AFC">
        <w:rPr>
          <w:rFonts w:eastAsia="Calibri"/>
        </w:rPr>
        <w:t xml:space="preserve"> focus to respond to the emerging health trends of </w:t>
      </w:r>
      <w:r>
        <w:rPr>
          <w:rFonts w:eastAsia="Calibri"/>
        </w:rPr>
        <w:t>m</w:t>
      </w:r>
      <w:r w:rsidRPr="00E66AFC">
        <w:rPr>
          <w:rFonts w:eastAsia="Calibri"/>
        </w:rPr>
        <w:t>yopia and non-communicable diseases in the Indo-Pacific to effectively utilise the significant soft power asset of the Australian health sector.</w:t>
      </w:r>
    </w:p>
    <w:p w14:paraId="66A6B942" w14:textId="77777777" w:rsidR="00DF74A2" w:rsidRDefault="00DF74A2" w:rsidP="006A3923">
      <w:pPr>
        <w:pStyle w:val="Heading2"/>
        <w:pageBreakBefore/>
      </w:pPr>
      <w:bookmarkStart w:id="2" w:name="_Toc527025395"/>
      <w:r w:rsidRPr="00E66AFC">
        <w:lastRenderedPageBreak/>
        <w:t>Introduction</w:t>
      </w:r>
      <w:r w:rsidR="007B09F1">
        <w:t xml:space="preserve"> and context</w:t>
      </w:r>
      <w:bookmarkEnd w:id="2"/>
    </w:p>
    <w:p w14:paraId="251DFB0F" w14:textId="77777777" w:rsidR="006F7CD9" w:rsidRDefault="00DF74A2" w:rsidP="003559C5">
      <w:pPr>
        <w:pStyle w:val="BodyText"/>
      </w:pPr>
      <w:r w:rsidRPr="005C28B3">
        <w:rPr>
          <w:szCs w:val="22"/>
        </w:rPr>
        <w:t xml:space="preserve">Vision 2020 Australia welcomes the opportunity to contribute to the </w:t>
      </w:r>
      <w:r>
        <w:rPr>
          <w:szCs w:val="22"/>
        </w:rPr>
        <w:t xml:space="preserve">Soft Power review. This submission </w:t>
      </w:r>
      <w:r w:rsidR="003559C5">
        <w:rPr>
          <w:szCs w:val="22"/>
        </w:rPr>
        <w:t>highlights</w:t>
      </w:r>
      <w:r w:rsidRPr="005C28B3">
        <w:rPr>
          <w:szCs w:val="22"/>
        </w:rPr>
        <w:t xml:space="preserve"> </w:t>
      </w:r>
      <w:r w:rsidR="003559C5">
        <w:rPr>
          <w:szCs w:val="22"/>
        </w:rPr>
        <w:t>how Australian investments in</w:t>
      </w:r>
      <w:r>
        <w:rPr>
          <w:szCs w:val="22"/>
        </w:rPr>
        <w:t xml:space="preserve"> inclusive</w:t>
      </w:r>
      <w:r w:rsidRPr="005C28B3">
        <w:rPr>
          <w:szCs w:val="22"/>
        </w:rPr>
        <w:t xml:space="preserve"> eye health and vision care services</w:t>
      </w:r>
      <w:r>
        <w:rPr>
          <w:szCs w:val="22"/>
        </w:rPr>
        <w:t xml:space="preserve"> </w:t>
      </w:r>
      <w:r w:rsidR="003559C5">
        <w:rPr>
          <w:szCs w:val="22"/>
        </w:rPr>
        <w:t>can strongly contribute to</w:t>
      </w:r>
      <w:r>
        <w:rPr>
          <w:szCs w:val="22"/>
          <w:lang w:val="en-US"/>
        </w:rPr>
        <w:t xml:space="preserve"> Australia’s soft power and influence</w:t>
      </w:r>
      <w:r w:rsidRPr="005C28B3">
        <w:rPr>
          <w:szCs w:val="22"/>
        </w:rPr>
        <w:t xml:space="preserve"> </w:t>
      </w:r>
      <w:r>
        <w:rPr>
          <w:szCs w:val="22"/>
        </w:rPr>
        <w:t xml:space="preserve">in the Indo-Pacific </w:t>
      </w:r>
      <w:r w:rsidR="006F7CD9">
        <w:rPr>
          <w:szCs w:val="22"/>
        </w:rPr>
        <w:t>region</w:t>
      </w:r>
      <w:r w:rsidR="006F7CD9" w:rsidRPr="005C28B3">
        <w:rPr>
          <w:szCs w:val="22"/>
        </w:rPr>
        <w:t>.</w:t>
      </w:r>
      <w:r w:rsidR="006F7CD9">
        <w:t xml:space="preserve"> </w:t>
      </w:r>
    </w:p>
    <w:p w14:paraId="0A353F60" w14:textId="013BAB02" w:rsidR="003559C5" w:rsidRDefault="006F7CD9" w:rsidP="00DF74A2">
      <w:pPr>
        <w:pStyle w:val="BodyText"/>
      </w:pPr>
      <w:r>
        <w:t>The</w:t>
      </w:r>
      <w:r w:rsidR="00DF74A2">
        <w:t xml:space="preserve"> Australian </w:t>
      </w:r>
      <w:r w:rsidR="007E4807">
        <w:t>a</w:t>
      </w:r>
      <w:r w:rsidR="00DF74A2">
        <w:t xml:space="preserve">id sector </w:t>
      </w:r>
      <w:proofErr w:type="gramStart"/>
      <w:r w:rsidR="00DF74A2">
        <w:t>is uniquely positioned</w:t>
      </w:r>
      <w:proofErr w:type="gramEnd"/>
      <w:r w:rsidR="00DF74A2">
        <w:t xml:space="preserve"> to help facilitate the transfer of Australian values and ideals, through the strong interpersonal linkages generated by the sector's achievements. </w:t>
      </w:r>
      <w:r w:rsidR="003559C5" w:rsidRPr="001108FB">
        <w:t>Well-targeted aid is a cost-effective means of exercising geopolitical leadership in line with key Australian values and areas of strength</w:t>
      </w:r>
      <w:r w:rsidR="003559C5">
        <w:t>. It is a</w:t>
      </w:r>
      <w:r w:rsidR="003559C5" w:rsidRPr="001108FB">
        <w:t xml:space="preserve"> crucial pillar in supporting the achievement of ove</w:t>
      </w:r>
      <w:r w:rsidR="003559C5">
        <w:t>rall foreign policy objectives and a critical aspect of Australian influence in the region.</w:t>
      </w:r>
    </w:p>
    <w:p w14:paraId="37CCFFF2" w14:textId="0874CBBB" w:rsidR="007B09F1" w:rsidRDefault="003559C5" w:rsidP="00DF74A2">
      <w:pPr>
        <w:pStyle w:val="BodyText"/>
      </w:pPr>
      <w:r>
        <w:t>In addition to deliver</w:t>
      </w:r>
      <w:r w:rsidR="007E4807">
        <w:t>ing</w:t>
      </w:r>
      <w:r>
        <w:t xml:space="preserve"> strong social and economic benefits, past</w:t>
      </w:r>
      <w:r w:rsidR="00DF74A2">
        <w:t xml:space="preserve"> Australian eye health aid initiatives ha</w:t>
      </w:r>
      <w:r>
        <w:t>ve demonstrated how such efforts build</w:t>
      </w:r>
      <w:r w:rsidR="007B09F1">
        <w:t xml:space="preserve"> </w:t>
      </w:r>
      <w:r w:rsidR="00DF74A2">
        <w:t xml:space="preserve">goodwill </w:t>
      </w:r>
      <w:r>
        <w:t xml:space="preserve">with partner countries </w:t>
      </w:r>
      <w:r w:rsidR="00DF74A2">
        <w:t xml:space="preserve">in the Indo-Pacific supported by the generosity of the Australian public. </w:t>
      </w:r>
      <w:r w:rsidR="007B09F1">
        <w:t>This submission will use the example of eye health investments to highlight the very practical gains made through past investments and the potential benefits that future investment could deliver.</w:t>
      </w:r>
    </w:p>
    <w:p w14:paraId="4E83B7FC" w14:textId="77777777" w:rsidR="007B09F1" w:rsidRDefault="007B09F1" w:rsidP="006F7CD9">
      <w:pPr>
        <w:pStyle w:val="Heading3"/>
      </w:pPr>
      <w:r>
        <w:t>Overview – global vision impairment</w:t>
      </w:r>
    </w:p>
    <w:p w14:paraId="2E362CEB" w14:textId="2CECB372" w:rsidR="007B09F1" w:rsidRDefault="00DF74A2" w:rsidP="006F7CD9">
      <w:pPr>
        <w:pStyle w:val="BodyText"/>
      </w:pPr>
      <w:r w:rsidRPr="006F7CD9">
        <w:t>Currently</w:t>
      </w:r>
      <w:r w:rsidR="006F7CD9" w:rsidRPr="006F7CD9">
        <w:t>, there</w:t>
      </w:r>
      <w:r w:rsidRPr="006F7CD9">
        <w:t xml:space="preserve"> are 253 million people in the world who have moderate to severe vision impairment</w:t>
      </w:r>
      <w:r w:rsidRPr="006F7CD9">
        <w:rPr>
          <w:vertAlign w:val="superscript"/>
        </w:rPr>
        <w:footnoteReference w:id="1"/>
      </w:r>
      <w:r w:rsidRPr="006F7CD9">
        <w:t xml:space="preserve"> and the number of people with vision impairment has been steadily growing as </w:t>
      </w:r>
      <w:proofErr w:type="gramStart"/>
      <w:r w:rsidRPr="006F7CD9">
        <w:t>populations</w:t>
      </w:r>
      <w:proofErr w:type="gramEnd"/>
      <w:r w:rsidRPr="006F7CD9">
        <w:t xml:space="preserve"> age and the prevalence of chronic diseases increases</w:t>
      </w:r>
      <w:r w:rsidR="007B09F1" w:rsidRPr="006F7CD9">
        <w:t>.</w:t>
      </w:r>
      <w:r w:rsidR="007E4807">
        <w:t xml:space="preserve"> Over the next 30 </w:t>
      </w:r>
      <w:r w:rsidR="00763421">
        <w:t>years,</w:t>
      </w:r>
      <w:r w:rsidR="007E4807">
        <w:t xml:space="preserve"> the prevalence of vision impairment </w:t>
      </w:r>
      <w:proofErr w:type="gramStart"/>
      <w:r w:rsidR="007E4807">
        <w:t>is expected</w:t>
      </w:r>
      <w:proofErr w:type="gramEnd"/>
      <w:r w:rsidR="007E4807">
        <w:t xml:space="preserve"> to treble by 2050.</w:t>
      </w:r>
    </w:p>
    <w:p w14:paraId="6F65FC33" w14:textId="77777777" w:rsidR="00A809E3" w:rsidRDefault="00A809E3" w:rsidP="006F7CD9">
      <w:pPr>
        <w:pStyle w:val="BodyText"/>
      </w:pPr>
      <w:r w:rsidRPr="00A809E3">
        <w:rPr>
          <w:noProof/>
        </w:rPr>
        <w:drawing>
          <wp:inline distT="0" distB="0" distL="0" distR="0" wp14:anchorId="051B3F40" wp14:editId="107B9A9B">
            <wp:extent cx="5476875" cy="2838450"/>
            <wp:effectExtent l="0" t="0" r="9525" b="0"/>
            <wp:docPr id="1" name="Picture 1" descr="A graph showing a three fold increase in moderate to severe vision impairment and blindness by 2050. Estimated that 600 million will be affected by moderate to severe vision impairment. Roughly 100 million people will be blind by 2050." title="Trends of Blindness and Vision Impair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s-jbs-prod-cdn.literatumonline.com/cms/attachment/7bacdd2c-54c3-4ae8-8ea6-09ce0f0f1188/gr3_lr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0338" cy="2850610"/>
                    </a:xfrm>
                    <a:prstGeom prst="rect">
                      <a:avLst/>
                    </a:prstGeom>
                    <a:noFill/>
                    <a:ln>
                      <a:noFill/>
                    </a:ln>
                  </pic:spPr>
                </pic:pic>
              </a:graphicData>
            </a:graphic>
          </wp:inline>
        </w:drawing>
      </w:r>
    </w:p>
    <w:p w14:paraId="36891FA6" w14:textId="5F2DD9DB" w:rsidR="00A809E3" w:rsidRPr="00515B9F" w:rsidRDefault="00A809E3" w:rsidP="006F7CD9">
      <w:pPr>
        <w:pStyle w:val="BodyText"/>
        <w:rPr>
          <w:b/>
          <w:sz w:val="18"/>
        </w:rPr>
      </w:pPr>
      <w:r w:rsidRPr="00515B9F">
        <w:rPr>
          <w:b/>
          <w:i/>
          <w:sz w:val="18"/>
        </w:rPr>
        <w:t xml:space="preserve">Source: </w:t>
      </w:r>
      <w:r w:rsidR="00E036DC" w:rsidRPr="00515B9F">
        <w:rPr>
          <w:b/>
          <w:i/>
          <w:sz w:val="18"/>
        </w:rPr>
        <w:t>Magnitude, Temporal Trends, and Projections of the Global Prevalence of Blindness and Distance and Near Vision Impairment</w:t>
      </w:r>
      <w:r w:rsidR="00326314">
        <w:rPr>
          <w:b/>
          <w:i/>
          <w:sz w:val="18"/>
        </w:rPr>
        <w:t xml:space="preserve"> </w:t>
      </w:r>
      <w:r w:rsidR="00326314" w:rsidRPr="00326314">
        <w:rPr>
          <w:b/>
          <w:i/>
          <w:sz w:val="18"/>
        </w:rPr>
        <w:t>2017</w:t>
      </w:r>
    </w:p>
    <w:p w14:paraId="458FE52B" w14:textId="77777777" w:rsidR="007B09F1" w:rsidRDefault="00DF74A2" w:rsidP="006F7CD9">
      <w:pPr>
        <w:pStyle w:val="BodyText"/>
      </w:pPr>
      <w:r w:rsidRPr="00581C3D">
        <w:lastRenderedPageBreak/>
        <w:t>Rates of vision impairment in the Indo-Pacific remain at unacceptably high levels, with an estimated 160 million people with moderate to severe vision impairment</w:t>
      </w:r>
      <w:r w:rsidRPr="00581C3D">
        <w:rPr>
          <w:vertAlign w:val="superscript"/>
        </w:rPr>
        <w:footnoteReference w:id="2"/>
      </w:r>
      <w:r w:rsidRPr="00581C3D">
        <w:t>.</w:t>
      </w:r>
      <w:r>
        <w:t xml:space="preserve"> </w:t>
      </w:r>
      <w:r w:rsidRPr="00581C3D">
        <w:t xml:space="preserve">If no action </w:t>
      </w:r>
      <w:proofErr w:type="gramStart"/>
      <w:r w:rsidRPr="00581C3D">
        <w:t>is taken</w:t>
      </w:r>
      <w:proofErr w:type="gramEnd"/>
      <w:r>
        <w:t>,</w:t>
      </w:r>
      <w:r w:rsidRPr="00581C3D">
        <w:t xml:space="preserve"> the number of people </w:t>
      </w:r>
      <w:r>
        <w:t xml:space="preserve">in the Indo-Pacific </w:t>
      </w:r>
      <w:r w:rsidRPr="00581C3D">
        <w:t>with vision impairment is set to increase to approximately 170 million by 2020, and then grow exponentially to an estimated 440 million by 2050</w:t>
      </w:r>
      <w:r w:rsidRPr="00581C3D">
        <w:rPr>
          <w:vertAlign w:val="superscript"/>
        </w:rPr>
        <w:footnoteReference w:id="3"/>
      </w:r>
      <w:r w:rsidRPr="00581C3D">
        <w:t>.</w:t>
      </w:r>
    </w:p>
    <w:p w14:paraId="015D42EB" w14:textId="6D5A88B6" w:rsidR="002D4A4F" w:rsidRPr="006F7CD9" w:rsidRDefault="00DF74A2" w:rsidP="006F7CD9">
      <w:pPr>
        <w:pStyle w:val="BodyText"/>
        <w:rPr>
          <w:rFonts w:eastAsia="Calibri"/>
        </w:rPr>
      </w:pPr>
      <w:r>
        <w:t>While these numbers are concerning i</w:t>
      </w:r>
      <w:r w:rsidRPr="00581C3D">
        <w:t xml:space="preserve">t </w:t>
      </w:r>
      <w:proofErr w:type="gramStart"/>
      <w:r w:rsidRPr="00581C3D">
        <w:t>is estimated</w:t>
      </w:r>
      <w:proofErr w:type="gramEnd"/>
      <w:r w:rsidRPr="00581C3D">
        <w:t xml:space="preserve"> that over 80% of the world’s vision impairment is avoidable</w:t>
      </w:r>
      <w:r w:rsidR="00DD7C00">
        <w:t>. This means that in the Indo-Pacific alone</w:t>
      </w:r>
      <w:r w:rsidRPr="00581C3D">
        <w:t xml:space="preserve">, </w:t>
      </w:r>
      <w:proofErr w:type="gramStart"/>
      <w:r w:rsidRPr="00581C3D">
        <w:t>roughly</w:t>
      </w:r>
      <w:proofErr w:type="gramEnd"/>
      <w:r w:rsidRPr="00581C3D">
        <w:t xml:space="preserve"> 130 million people are needlessly vision impaired</w:t>
      </w:r>
      <w:r w:rsidRPr="00581C3D">
        <w:rPr>
          <w:vertAlign w:val="superscript"/>
        </w:rPr>
        <w:footnoteReference w:id="4"/>
      </w:r>
      <w:r w:rsidR="002D4A4F">
        <w:t xml:space="preserve">. There are established, effective and low cost actions that </w:t>
      </w:r>
      <w:proofErr w:type="gramStart"/>
      <w:r w:rsidR="002D4A4F">
        <w:t>can be taken</w:t>
      </w:r>
      <w:proofErr w:type="gramEnd"/>
      <w:r w:rsidR="002D4A4F">
        <w:t xml:space="preserve"> to remedy this, with </w:t>
      </w:r>
      <w:r w:rsidR="006F7CD9">
        <w:t xml:space="preserve">Australian </w:t>
      </w:r>
      <w:r w:rsidR="002D4A4F">
        <w:t xml:space="preserve">aid funded eye health and vision care initiatives </w:t>
      </w:r>
      <w:r w:rsidR="006F7CD9">
        <w:t>providing</w:t>
      </w:r>
      <w:r w:rsidR="002D4A4F">
        <w:t xml:space="preserve"> a cost effective soft power asset that generate</w:t>
      </w:r>
      <w:r w:rsidR="002D4A4F">
        <w:rPr>
          <w:rFonts w:eastAsia="Calibri"/>
        </w:rPr>
        <w:t xml:space="preserve"> $4 AUD in economic growth for every $1 AUD invested</w:t>
      </w:r>
      <w:r w:rsidR="002D4A4F">
        <w:rPr>
          <w:rStyle w:val="FootnoteReference"/>
          <w:rFonts w:eastAsia="Calibri"/>
        </w:rPr>
        <w:footnoteReference w:id="5"/>
      </w:r>
      <w:r w:rsidR="002D4A4F">
        <w:rPr>
          <w:rFonts w:eastAsia="Calibri"/>
        </w:rPr>
        <w:t xml:space="preserve">. </w:t>
      </w:r>
    </w:p>
    <w:p w14:paraId="71DCD46F" w14:textId="67B708CD" w:rsidR="00DF74A2" w:rsidRDefault="00DD7C00" w:rsidP="006F7CD9">
      <w:pPr>
        <w:pStyle w:val="BodyText"/>
      </w:pPr>
      <w:r>
        <w:t>The practical impacts of</w:t>
      </w:r>
      <w:r w:rsidR="007B09F1">
        <w:t xml:space="preserve"> </w:t>
      </w:r>
      <w:r w:rsidRPr="007B09F1">
        <w:t xml:space="preserve">addressing this issue, in particular the </w:t>
      </w:r>
      <w:r w:rsidR="002D4A4F" w:rsidRPr="007B09F1">
        <w:t xml:space="preserve">strong good will and </w:t>
      </w:r>
      <w:r w:rsidRPr="007B09F1">
        <w:t>social and economic benefits for the affected countries</w:t>
      </w:r>
      <w:r w:rsidR="006F7CD9">
        <w:t xml:space="preserve"> and thus Australia’s influence</w:t>
      </w:r>
      <w:r w:rsidRPr="007B09F1">
        <w:t xml:space="preserve">, are striking. </w:t>
      </w:r>
      <w:r w:rsidR="00DF74A2" w:rsidRPr="007B09F1">
        <w:t xml:space="preserve">If the Australian aid program effectively targets avoidable blindness and vision impairment, it will strengthen Australia’s reputation as having a leading health system and a willingness to transfer our knowledge and share innovations with our partners </w:t>
      </w:r>
      <w:r w:rsidR="00FB5715">
        <w:t xml:space="preserve">in </w:t>
      </w:r>
      <w:r w:rsidR="00DF74A2" w:rsidRPr="007B09F1">
        <w:t>the Indo-Pacific.</w:t>
      </w:r>
    </w:p>
    <w:p w14:paraId="4AFA7B94" w14:textId="505ADEA3" w:rsidR="003D6D1C" w:rsidRDefault="003D6D1C" w:rsidP="003D6D1C">
      <w:pPr>
        <w:pStyle w:val="Heading2"/>
      </w:pPr>
      <w:bookmarkStart w:id="3" w:name="_Toc527025396"/>
      <w:r>
        <w:t>Generosity and Australia Aid</w:t>
      </w:r>
      <w:bookmarkEnd w:id="3"/>
    </w:p>
    <w:p w14:paraId="0663C166" w14:textId="77777777" w:rsidR="003D6D1C" w:rsidRDefault="003D6D1C" w:rsidP="003D6D1C">
      <w:pPr>
        <w:pStyle w:val="BodyText"/>
      </w:pPr>
      <w:r>
        <w:t xml:space="preserve">The use of targeted Australian aid complements Australia’s broader investment policies and further develops strong regional relations that increase influence in the Indo-Pacific. This presents </w:t>
      </w:r>
      <w:r w:rsidRPr="00CD4755">
        <w:t>the Australian Government</w:t>
      </w:r>
      <w:r>
        <w:t xml:space="preserve"> with an opportunity, through foreign policy, to use </w:t>
      </w:r>
      <w:r w:rsidRPr="00CD4755">
        <w:t xml:space="preserve">aid as a strategic </w:t>
      </w:r>
      <w:r>
        <w:t>lever</w:t>
      </w:r>
      <w:r w:rsidRPr="00CD4755">
        <w:t xml:space="preserve"> alongside diplomacy, trade and security. Australian aid remains a critical and cost-effective tool for advancing Australia’s interests in the region, enabling the alleviation of poverty and improving regional security by addressing health outcomes and the underlying social determinant factors amongst the </w:t>
      </w:r>
      <w:proofErr w:type="gramStart"/>
      <w:r w:rsidRPr="00CD4755">
        <w:t>world’s</w:t>
      </w:r>
      <w:proofErr w:type="gramEnd"/>
      <w:r w:rsidRPr="00CD4755">
        <w:t xml:space="preserve"> poorest.</w:t>
      </w:r>
    </w:p>
    <w:p w14:paraId="3BFF175C" w14:textId="77777777" w:rsidR="003D6D1C" w:rsidRDefault="003D6D1C" w:rsidP="003D6D1C">
      <w:pPr>
        <w:pStyle w:val="BodyText"/>
        <w:rPr>
          <w:rFonts w:eastAsia="Calibri"/>
        </w:rPr>
      </w:pPr>
      <w:r>
        <w:rPr>
          <w:rFonts w:eastAsia="Calibri"/>
        </w:rPr>
        <w:t xml:space="preserve">In economically uncertain times, in which other countries are considering their investments in the region, it is strategically important for Australia to continue to provide highly visible leadership in the Indo-Pacific region. </w:t>
      </w:r>
      <w:r w:rsidRPr="00EE0E67">
        <w:rPr>
          <w:rFonts w:eastAsia="Calibri"/>
        </w:rPr>
        <w:t xml:space="preserve">To </w:t>
      </w:r>
      <w:r>
        <w:rPr>
          <w:rFonts w:eastAsia="Calibri"/>
        </w:rPr>
        <w:t>underpin Australia’s national brand of generosity</w:t>
      </w:r>
      <w:r w:rsidRPr="00EE0E67">
        <w:rPr>
          <w:rFonts w:eastAsia="Calibri"/>
        </w:rPr>
        <w:t xml:space="preserve">, </w:t>
      </w:r>
      <w:r w:rsidRPr="009861F4">
        <w:rPr>
          <w:rFonts w:eastAsia="Calibri"/>
        </w:rPr>
        <w:lastRenderedPageBreak/>
        <w:t xml:space="preserve">Australia’s aid </w:t>
      </w:r>
      <w:r w:rsidRPr="00EE0E67">
        <w:rPr>
          <w:rFonts w:eastAsia="Calibri"/>
        </w:rPr>
        <w:t xml:space="preserve">funding </w:t>
      </w:r>
      <w:proofErr w:type="gramStart"/>
      <w:r w:rsidRPr="00EE0E67">
        <w:rPr>
          <w:rFonts w:eastAsia="Calibri"/>
        </w:rPr>
        <w:t>should be raised</w:t>
      </w:r>
      <w:proofErr w:type="gramEnd"/>
      <w:r w:rsidRPr="00EE0E67">
        <w:rPr>
          <w:rFonts w:eastAsia="Calibri"/>
        </w:rPr>
        <w:t xml:space="preserve"> incrementally to 0.7% of Gross National Income by 2030, a figure that has been </w:t>
      </w:r>
      <w:r>
        <w:rPr>
          <w:rFonts w:eastAsia="Calibri"/>
        </w:rPr>
        <w:t>endorsed in the Addis Ababa Agreement</w:t>
      </w:r>
      <w:r>
        <w:rPr>
          <w:rStyle w:val="FootnoteReference"/>
          <w:rFonts w:eastAsia="Calibri"/>
        </w:rPr>
        <w:footnoteReference w:id="6"/>
      </w:r>
      <w:r>
        <w:rPr>
          <w:rFonts w:eastAsia="Calibri"/>
        </w:rPr>
        <w:t>.</w:t>
      </w:r>
    </w:p>
    <w:p w14:paraId="442FEBD4" w14:textId="77777777" w:rsidR="003D6D1C" w:rsidRDefault="003D6D1C" w:rsidP="003D6D1C">
      <w:pPr>
        <w:pStyle w:val="BodyText"/>
        <w:rPr>
          <w:rFonts w:eastAsia="Calibri"/>
        </w:rPr>
      </w:pPr>
      <w:r>
        <w:rPr>
          <w:rFonts w:eastAsia="Calibri"/>
        </w:rPr>
        <w:t>Increasing aid will</w:t>
      </w:r>
      <w:r w:rsidRPr="006F7CD9">
        <w:rPr>
          <w:rFonts w:eastAsia="Calibri"/>
        </w:rPr>
        <w:t xml:space="preserve"> not just deliver on the ground benefits for</w:t>
      </w:r>
      <w:r>
        <w:rPr>
          <w:rFonts w:eastAsia="Calibri"/>
        </w:rPr>
        <w:t xml:space="preserve"> local</w:t>
      </w:r>
      <w:r w:rsidRPr="006F7CD9">
        <w:rPr>
          <w:rFonts w:eastAsia="Calibri"/>
        </w:rPr>
        <w:t xml:space="preserve"> systems and </w:t>
      </w:r>
      <w:r>
        <w:rPr>
          <w:rFonts w:eastAsia="Calibri"/>
        </w:rPr>
        <w:t>people</w:t>
      </w:r>
      <w:r w:rsidRPr="006F7CD9">
        <w:rPr>
          <w:rFonts w:eastAsia="Calibri"/>
        </w:rPr>
        <w:t xml:space="preserve">, but </w:t>
      </w:r>
      <w:r>
        <w:rPr>
          <w:rFonts w:eastAsia="Calibri"/>
        </w:rPr>
        <w:t>will</w:t>
      </w:r>
      <w:r w:rsidRPr="006F7CD9">
        <w:rPr>
          <w:rFonts w:eastAsia="Calibri"/>
        </w:rPr>
        <w:t xml:space="preserve"> </w:t>
      </w:r>
      <w:r>
        <w:rPr>
          <w:rFonts w:eastAsia="Calibri"/>
        </w:rPr>
        <w:t xml:space="preserve">also </w:t>
      </w:r>
      <w:r w:rsidRPr="006F7CD9">
        <w:rPr>
          <w:rFonts w:eastAsia="Calibri"/>
        </w:rPr>
        <w:t>contribut</w:t>
      </w:r>
      <w:r>
        <w:rPr>
          <w:rFonts w:eastAsia="Calibri"/>
        </w:rPr>
        <w:t>e</w:t>
      </w:r>
      <w:r w:rsidRPr="006F7CD9">
        <w:rPr>
          <w:rFonts w:eastAsia="Calibri"/>
        </w:rPr>
        <w:t xml:space="preserve"> to Australia’s ability to influence security in the Indo-Pacific by underpinning strong bilateral relationships. Trends over recent years have seen a significant reduction in the overall level of support </w:t>
      </w:r>
      <w:r>
        <w:rPr>
          <w:rFonts w:eastAsia="Calibri"/>
        </w:rPr>
        <w:t>for</w:t>
      </w:r>
      <w:r w:rsidRPr="006F7CD9">
        <w:rPr>
          <w:rFonts w:eastAsia="Calibri"/>
        </w:rPr>
        <w:t xml:space="preserve"> aid </w:t>
      </w:r>
      <w:r>
        <w:rPr>
          <w:rFonts w:eastAsia="Calibri"/>
        </w:rPr>
        <w:t>that</w:t>
      </w:r>
      <w:r w:rsidRPr="006F7CD9">
        <w:rPr>
          <w:rFonts w:eastAsia="Calibri"/>
        </w:rPr>
        <w:t>, if not reversed, ha</w:t>
      </w:r>
      <w:r>
        <w:rPr>
          <w:rFonts w:eastAsia="Calibri"/>
        </w:rPr>
        <w:t>s</w:t>
      </w:r>
      <w:r w:rsidRPr="006F7CD9">
        <w:rPr>
          <w:rFonts w:eastAsia="Calibri"/>
        </w:rPr>
        <w:t xml:space="preserve"> the potential to hinder Australia’s ability to influence in the Indo-Pacific. </w:t>
      </w:r>
    </w:p>
    <w:p w14:paraId="7D7701D3" w14:textId="77777777" w:rsidR="003D6D1C" w:rsidRPr="009861F4" w:rsidRDefault="003D6D1C" w:rsidP="003D6D1C">
      <w:pPr>
        <w:pStyle w:val="BodyText"/>
      </w:pPr>
      <w:r>
        <w:t>Australia’s national “brand” is a strong marketing tool, built on the values of a fair go and generosity. An inclusive aid program that enhances the economic capacity of close trading partners and regional neighbours also protects Australia’s security and prosperity.</w:t>
      </w:r>
    </w:p>
    <w:p w14:paraId="598DE560" w14:textId="77777777" w:rsidR="003D6D1C" w:rsidRPr="00E66AFC" w:rsidRDefault="003D6D1C" w:rsidP="003D6D1C">
      <w:pPr>
        <w:pStyle w:val="Heading3"/>
        <w:ind w:firstLine="720"/>
        <w:rPr>
          <w:rFonts w:eastAsia="Calibri"/>
          <w:i/>
        </w:rPr>
      </w:pPr>
      <w:r w:rsidRPr="00E66AFC">
        <w:rPr>
          <w:rFonts w:eastAsia="Calibri"/>
          <w:i/>
        </w:rPr>
        <w:t>Recommendation</w:t>
      </w:r>
    </w:p>
    <w:p w14:paraId="3793EDBC" w14:textId="6B8EE616" w:rsidR="003D6D1C" w:rsidRPr="00515B9F" w:rsidRDefault="003D6D1C" w:rsidP="00515B9F">
      <w:pPr>
        <w:pStyle w:val="BodyText"/>
        <w:ind w:left="720"/>
        <w:rPr>
          <w:rFonts w:eastAsia="Calibri"/>
        </w:rPr>
      </w:pPr>
      <w:r w:rsidRPr="00E66AFC">
        <w:rPr>
          <w:rFonts w:eastAsia="Calibri"/>
        </w:rPr>
        <w:t>The Australian Government should raise Official Development Assistance funding to 0.7% of Gross National Income by 2030 to enhance Australian influence in the Indo-Pacific.</w:t>
      </w:r>
    </w:p>
    <w:p w14:paraId="3FCEA6D4" w14:textId="77777777" w:rsidR="00DF74A2" w:rsidRDefault="00DF74A2" w:rsidP="00DF74A2">
      <w:pPr>
        <w:pStyle w:val="Heading2"/>
      </w:pPr>
      <w:bookmarkStart w:id="4" w:name="_Toc527025397"/>
      <w:r>
        <w:t>Interpersonal linkages</w:t>
      </w:r>
      <w:bookmarkEnd w:id="4"/>
    </w:p>
    <w:p w14:paraId="75E2E5CF" w14:textId="76983FAD" w:rsidR="00907127" w:rsidRDefault="00DF74A2" w:rsidP="00DF74A2">
      <w:pPr>
        <w:pStyle w:val="BodyText"/>
      </w:pPr>
      <w:r>
        <w:t>Australia’s ability to persuade and influence</w:t>
      </w:r>
      <w:r w:rsidR="00DD7C00">
        <w:t>, particularly</w:t>
      </w:r>
      <w:r>
        <w:t xml:space="preserve"> in the Indo-Pacific, is driven </w:t>
      </w:r>
      <w:proofErr w:type="gramStart"/>
      <w:r>
        <w:t>by  strong</w:t>
      </w:r>
      <w:proofErr w:type="gramEnd"/>
      <w:r>
        <w:t xml:space="preserve"> interpersonal linkages</w:t>
      </w:r>
      <w:r w:rsidR="00907127">
        <w:t>. These</w:t>
      </w:r>
      <w:r>
        <w:t xml:space="preserve"> </w:t>
      </w:r>
      <w:proofErr w:type="gramStart"/>
      <w:r>
        <w:t>have been fostered</w:t>
      </w:r>
      <w:proofErr w:type="gramEnd"/>
      <w:r>
        <w:t xml:space="preserve"> through many years of collaboration between Australia and its neighbours through the Australian non-government</w:t>
      </w:r>
      <w:r w:rsidR="000A0FBF">
        <w:t>al</w:t>
      </w:r>
      <w:r>
        <w:t xml:space="preserve"> international development sector, with the support of the Government’s aid program. </w:t>
      </w:r>
    </w:p>
    <w:p w14:paraId="1C972B64" w14:textId="77777777" w:rsidR="00DD7C00" w:rsidRDefault="00E63C49" w:rsidP="00DF74A2">
      <w:pPr>
        <w:pStyle w:val="BodyText"/>
      </w:pPr>
      <w:r>
        <w:t>Within this environment, t</w:t>
      </w:r>
      <w:r w:rsidR="00DF74A2">
        <w:t>he eye health and vision care sector has</w:t>
      </w:r>
      <w:r>
        <w:t xml:space="preserve"> actively contributed </w:t>
      </w:r>
      <w:r w:rsidR="000A0FBF">
        <w:t>to and supported development of</w:t>
      </w:r>
      <w:r w:rsidR="00DF74A2">
        <w:t xml:space="preserve"> Australia’s regional leadership, particularly through the delivery of the Australian Government’s Avoidable Blindness Initiative</w:t>
      </w:r>
      <w:r w:rsidR="00DF74A2">
        <w:rPr>
          <w:rStyle w:val="FootnoteReference"/>
        </w:rPr>
        <w:footnoteReference w:id="7"/>
      </w:r>
      <w:r w:rsidR="00DF74A2">
        <w:t xml:space="preserve"> </w:t>
      </w:r>
      <w:r w:rsidR="00F872B8">
        <w:t>(</w:t>
      </w:r>
      <w:r w:rsidR="00DF74A2" w:rsidRPr="009861F4">
        <w:rPr>
          <w:b/>
          <w:u w:val="single"/>
        </w:rPr>
        <w:t xml:space="preserve">Attachment </w:t>
      </w:r>
      <w:r w:rsidR="00F26EB5" w:rsidRPr="009861F4">
        <w:rPr>
          <w:b/>
          <w:u w:val="single"/>
        </w:rPr>
        <w:t>1</w:t>
      </w:r>
      <w:r w:rsidR="00F872B8">
        <w:rPr>
          <w:b/>
          <w:u w:val="single"/>
        </w:rPr>
        <w:t>)</w:t>
      </w:r>
      <w:r w:rsidR="00DF74A2">
        <w:t>.</w:t>
      </w:r>
      <w:r w:rsidR="00E70E01">
        <w:t xml:space="preserve"> </w:t>
      </w:r>
    </w:p>
    <w:p w14:paraId="6E685219" w14:textId="77777777" w:rsidR="00DF74A2" w:rsidRDefault="00E70E01" w:rsidP="00DF74A2">
      <w:pPr>
        <w:pStyle w:val="BodyText"/>
      </w:pPr>
      <w:r>
        <w:t>The Avoidable Blindness Initiative began in 2009 and delivered numerous eye health programs in the Indo-Pacific until 2017; this allowed for the development of extensive interpersonal linkages and enhanced Australia’s reputation as a global leader in eye health.</w:t>
      </w:r>
      <w:r w:rsidR="00DF74A2">
        <w:t xml:space="preserve"> The Avoidable Blindness Initiative effectively highlighted Australia’s position as a trusted partner that can help deliver sustainable growth and development in the Indo-Pacific.</w:t>
      </w:r>
    </w:p>
    <w:p w14:paraId="332280D2" w14:textId="194DF560" w:rsidR="00DF74A2" w:rsidRDefault="00DF74A2" w:rsidP="00DF74A2">
      <w:pPr>
        <w:pStyle w:val="BodyText"/>
      </w:pPr>
      <w:r>
        <w:t xml:space="preserve">Through the Avoidable Blindness Initiative, Australian </w:t>
      </w:r>
      <w:proofErr w:type="gramStart"/>
      <w:r>
        <w:t>eye health non-government organisations</w:t>
      </w:r>
      <w:proofErr w:type="gramEnd"/>
      <w:r>
        <w:t xml:space="preserve"> (NGOs) supported regional training facilities such as the Pacific Eye Institute in Fiji</w:t>
      </w:r>
      <w:r>
        <w:rPr>
          <w:rStyle w:val="FootnoteReference"/>
        </w:rPr>
        <w:footnoteReference w:id="8"/>
      </w:r>
      <w:r>
        <w:t xml:space="preserve">. </w:t>
      </w:r>
      <w:r w:rsidRPr="00641C77">
        <w:t>This sustainable local approach promote</w:t>
      </w:r>
      <w:r w:rsidR="00DD7C00">
        <w:t>d</w:t>
      </w:r>
      <w:r w:rsidRPr="00641C77">
        <w:t xml:space="preserve"> the independence of Pacific nations and allow</w:t>
      </w:r>
      <w:r w:rsidR="00DD7C00">
        <w:t>ed</w:t>
      </w:r>
      <w:r w:rsidRPr="00641C77">
        <w:t xml:space="preserve"> for the development of tailored educational courses and appropriate services to respond to the Paci</w:t>
      </w:r>
      <w:r w:rsidR="000243DD">
        <w:t xml:space="preserve">fic’s unique eye health needs. </w:t>
      </w:r>
      <w:r>
        <w:t>I</w:t>
      </w:r>
      <w:r w:rsidRPr="00641C77">
        <w:t xml:space="preserve">t </w:t>
      </w:r>
      <w:r>
        <w:t xml:space="preserve">also </w:t>
      </w:r>
      <w:r w:rsidR="000A0FBF">
        <w:t>promoted</w:t>
      </w:r>
      <w:r w:rsidRPr="00641C77">
        <w:t xml:space="preserve"> regional inter</w:t>
      </w:r>
      <w:r w:rsidR="000A0FBF">
        <w:t>personal linkages and empowered</w:t>
      </w:r>
      <w:r>
        <w:t xml:space="preserve"> </w:t>
      </w:r>
      <w:proofErr w:type="gramStart"/>
      <w:r>
        <w:t>P</w:t>
      </w:r>
      <w:r w:rsidRPr="00641C77">
        <w:t>acific eye health professionals</w:t>
      </w:r>
      <w:proofErr w:type="gramEnd"/>
      <w:r w:rsidRPr="00641C77">
        <w:t xml:space="preserve"> through capacity building enterprises.</w:t>
      </w:r>
      <w:r>
        <w:t xml:space="preserve"> The </w:t>
      </w:r>
      <w:r w:rsidR="00F37458">
        <w:t xml:space="preserve">support </w:t>
      </w:r>
      <w:r>
        <w:t>of local and regional institutions create</w:t>
      </w:r>
      <w:r w:rsidR="00763421">
        <w:t>d</w:t>
      </w:r>
      <w:r>
        <w:t xml:space="preserve"> enduring partnerships between the Australian organisations that help support them and the local workforce </w:t>
      </w:r>
      <w:r w:rsidR="00F37458">
        <w:t xml:space="preserve">that </w:t>
      </w:r>
      <w:r>
        <w:t xml:space="preserve">they create. They expand Australia’s influence in the region by demonstrating the positive and </w:t>
      </w:r>
      <w:r w:rsidR="00763421">
        <w:t xml:space="preserve">strong </w:t>
      </w:r>
      <w:r>
        <w:t>effect of Australia</w:t>
      </w:r>
      <w:r w:rsidR="00F872B8">
        <w:t>’s</w:t>
      </w:r>
      <w:r>
        <w:t xml:space="preserve"> generosity.</w:t>
      </w:r>
    </w:p>
    <w:p w14:paraId="28B53E4A" w14:textId="70145115" w:rsidR="00DF74A2" w:rsidRPr="000A0FBF" w:rsidRDefault="00DF74A2" w:rsidP="00DF74A2">
      <w:pPr>
        <w:pStyle w:val="BodyText"/>
        <w:rPr>
          <w:szCs w:val="22"/>
        </w:rPr>
      </w:pPr>
      <w:r>
        <w:t xml:space="preserve">Restoring the sight of someone with avoidable blindness or vision impairment is an empowering intervention that can remove systemic drivers of poverty and inequality. Australia </w:t>
      </w:r>
      <w:r>
        <w:rPr>
          <w:szCs w:val="22"/>
        </w:rPr>
        <w:t>has</w:t>
      </w:r>
      <w:r w:rsidRPr="0061052F">
        <w:rPr>
          <w:szCs w:val="22"/>
        </w:rPr>
        <w:t xml:space="preserve"> demonstrated the expertise, passion and determination that </w:t>
      </w:r>
      <w:r>
        <w:rPr>
          <w:szCs w:val="22"/>
        </w:rPr>
        <w:t>is</w:t>
      </w:r>
      <w:r w:rsidRPr="0061052F">
        <w:rPr>
          <w:szCs w:val="22"/>
        </w:rPr>
        <w:t xml:space="preserve"> required to facilitate sustainable eye health outcomes in the Indo-</w:t>
      </w:r>
      <w:r w:rsidR="00763421" w:rsidRPr="0061052F">
        <w:rPr>
          <w:szCs w:val="22"/>
        </w:rPr>
        <w:t>Pacific</w:t>
      </w:r>
      <w:r w:rsidR="00763421">
        <w:rPr>
          <w:szCs w:val="22"/>
        </w:rPr>
        <w:t>. However</w:t>
      </w:r>
      <w:r>
        <w:rPr>
          <w:szCs w:val="22"/>
        </w:rPr>
        <w:t xml:space="preserve">, there </w:t>
      </w:r>
      <w:r w:rsidR="00E63C49">
        <w:rPr>
          <w:szCs w:val="22"/>
        </w:rPr>
        <w:t xml:space="preserve">are still significant opportunities to </w:t>
      </w:r>
      <w:r>
        <w:rPr>
          <w:szCs w:val="22"/>
        </w:rPr>
        <w:t>promote further growth and prosperity in the Indo-Pacific</w:t>
      </w:r>
      <w:r w:rsidR="00E63C49">
        <w:rPr>
          <w:szCs w:val="22"/>
        </w:rPr>
        <w:t xml:space="preserve"> and there is a need to act now to counter the forecast </w:t>
      </w:r>
      <w:r w:rsidR="000A0FBF">
        <w:rPr>
          <w:szCs w:val="22"/>
        </w:rPr>
        <w:t>trebling</w:t>
      </w:r>
      <w:r w:rsidR="00E63C49">
        <w:rPr>
          <w:szCs w:val="22"/>
        </w:rPr>
        <w:t xml:space="preserve"> of impairment that will occur if action </w:t>
      </w:r>
      <w:proofErr w:type="gramStart"/>
      <w:r w:rsidR="00E63C49">
        <w:rPr>
          <w:szCs w:val="22"/>
        </w:rPr>
        <w:t>is not taken</w:t>
      </w:r>
      <w:proofErr w:type="gramEnd"/>
      <w:r w:rsidR="00E63C49">
        <w:rPr>
          <w:szCs w:val="22"/>
        </w:rPr>
        <w:t xml:space="preserve">. </w:t>
      </w:r>
    </w:p>
    <w:p w14:paraId="4C235EE5" w14:textId="77777777" w:rsidR="00DF74A2" w:rsidRPr="00E66AFC" w:rsidRDefault="00DF74A2" w:rsidP="00DF74A2">
      <w:pPr>
        <w:pStyle w:val="Heading3"/>
        <w:ind w:firstLine="567"/>
        <w:rPr>
          <w:i/>
        </w:rPr>
      </w:pPr>
      <w:r w:rsidRPr="00E66AFC">
        <w:rPr>
          <w:i/>
        </w:rPr>
        <w:t>Recommendation</w:t>
      </w:r>
    </w:p>
    <w:p w14:paraId="03FC5202" w14:textId="6387CE19" w:rsidR="00DF74A2" w:rsidRPr="004A5696" w:rsidRDefault="00DF74A2" w:rsidP="00DF74A2">
      <w:pPr>
        <w:pStyle w:val="Indented"/>
      </w:pPr>
      <w:r w:rsidRPr="00E66AFC">
        <w:t xml:space="preserve">That the Australian Government expands </w:t>
      </w:r>
      <w:r w:rsidR="00326314">
        <w:t>eye health</w:t>
      </w:r>
      <w:r w:rsidRPr="00E66AFC">
        <w:t xml:space="preserve"> investment in the Indo-Pacific to continue to foster and expand on the essential interpersonal linkages that provide strong soft power opportunities for Australia</w:t>
      </w:r>
      <w:r w:rsidR="00326314">
        <w:t>.</w:t>
      </w:r>
    </w:p>
    <w:p w14:paraId="277A6C1C" w14:textId="5A24451F" w:rsidR="00095F2D" w:rsidRDefault="00095F2D" w:rsidP="00095F2D">
      <w:pPr>
        <w:pStyle w:val="Heading2"/>
      </w:pPr>
      <w:bookmarkStart w:id="5" w:name="_Toc527025398"/>
      <w:r>
        <w:t xml:space="preserve">Australia’s role in </w:t>
      </w:r>
      <w:r w:rsidR="00A809E3">
        <w:t xml:space="preserve">supporting eye health in </w:t>
      </w:r>
      <w:r>
        <w:t>the Indo-Pacific</w:t>
      </w:r>
      <w:bookmarkEnd w:id="5"/>
    </w:p>
    <w:p w14:paraId="1E92440B" w14:textId="77777777" w:rsidR="00095F2D" w:rsidRDefault="00095F2D" w:rsidP="00095F2D">
      <w:pPr>
        <w:pStyle w:val="BodyText"/>
      </w:pPr>
      <w:r>
        <w:t>There has been significant discussion and focus on the changing power dynamics in the Indo-Pacific and how Australia might adapt to these new changes as they emerge. Australia is still the largest provider of aid to the region and is regarded as the most reliable and trusted partner to countries in the region</w:t>
      </w:r>
      <w:r>
        <w:rPr>
          <w:rStyle w:val="FootnoteReference"/>
        </w:rPr>
        <w:footnoteReference w:id="9"/>
      </w:r>
      <w:r>
        <w:t>. Australia can build on this reputation and further develop mutual trust and collaborative partnerships.</w:t>
      </w:r>
    </w:p>
    <w:p w14:paraId="6C49139D" w14:textId="77777777" w:rsidR="00095F2D" w:rsidRDefault="00095F2D" w:rsidP="00095F2D">
      <w:pPr>
        <w:pStyle w:val="BodyText"/>
      </w:pPr>
      <w:r w:rsidRPr="00095F2D">
        <w:t>Organisations such as the Association of South-East Asian Nations (ASEAN) and the World Health Organisation (WHO) are two influential multilateral organisations through which Australia can project influence in the Indo-Pacific.</w:t>
      </w:r>
      <w:r>
        <w:t xml:space="preserve"> </w:t>
      </w:r>
      <w:r w:rsidRPr="00095F2D">
        <w:t>The WHO is preparing to release the World Report on Vision (WROV), a report that aims to provide authoritative evidence on the magnitude of vision loss globally, as well as its prevention, treatment and rehabilitation</w:t>
      </w:r>
      <w:r w:rsidRPr="00095F2D">
        <w:rPr>
          <w:vertAlign w:val="superscript"/>
        </w:rPr>
        <w:footnoteReference w:id="10"/>
      </w:r>
      <w:r w:rsidRPr="00095F2D">
        <w:t xml:space="preserve">. Among the recommendations to Governments in the report, several will focus on ensuring comprehensive and integrated vision services within countries through the creation of strategies and budgets that seek to integrate eye care into the mainstream health system. The release of the WROV gives the Australian Government the opportunity to display the tremendous work that </w:t>
      </w:r>
      <w:proofErr w:type="gramStart"/>
      <w:r w:rsidRPr="00095F2D">
        <w:t>has been done</w:t>
      </w:r>
      <w:proofErr w:type="gramEnd"/>
      <w:r w:rsidRPr="00095F2D">
        <w:t xml:space="preserve"> to combat avoidable blindness in the Indo-Pacific and reaffirm the leadership role that has been created by the achievements of Australian aid.</w:t>
      </w:r>
    </w:p>
    <w:p w14:paraId="4A826206" w14:textId="7A487E13" w:rsidR="00095F2D" w:rsidRDefault="00095F2D" w:rsidP="00095F2D">
      <w:pPr>
        <w:pStyle w:val="BodyText"/>
        <w:rPr>
          <w:rFonts w:eastAsia="Calibri"/>
        </w:rPr>
      </w:pPr>
      <w:r>
        <w:rPr>
          <w:rFonts w:eastAsia="Calibri"/>
        </w:rPr>
        <w:t>Eye health is an important contributor towards achieving the United Nations Sustain</w:t>
      </w:r>
      <w:r w:rsidR="005335B1">
        <w:rPr>
          <w:rFonts w:eastAsia="Calibri"/>
        </w:rPr>
        <w:t xml:space="preserve">able Development Goals (SDGs). </w:t>
      </w:r>
      <w:r>
        <w:rPr>
          <w:rFonts w:eastAsia="Calibri"/>
        </w:rPr>
        <w:t>Australia can demonstrate global leadership by aligning investments with the SDGs.</w:t>
      </w:r>
      <w:r w:rsidR="005335B1" w:rsidRPr="005335B1">
        <w:rPr>
          <w:rFonts w:eastAsia="Calibri" w:cstheme="minorBidi"/>
          <w:szCs w:val="22"/>
          <w:lang w:eastAsia="en-US"/>
        </w:rPr>
        <w:t xml:space="preserve"> </w:t>
      </w:r>
      <w:r w:rsidR="005335B1" w:rsidRPr="005335B1">
        <w:rPr>
          <w:rFonts w:eastAsia="Calibri"/>
        </w:rPr>
        <w:t xml:space="preserve">Healthy vision connects to and </w:t>
      </w:r>
      <w:proofErr w:type="gramStart"/>
      <w:r w:rsidR="005335B1" w:rsidRPr="005335B1">
        <w:rPr>
          <w:rFonts w:eastAsia="Calibri"/>
        </w:rPr>
        <w:t>impacts</w:t>
      </w:r>
      <w:proofErr w:type="gramEnd"/>
      <w:r w:rsidR="005335B1" w:rsidRPr="005335B1">
        <w:rPr>
          <w:rFonts w:eastAsia="Calibri"/>
        </w:rPr>
        <w:t xml:space="preserve"> upon many other areas of life, such as education, employment and community participation. </w:t>
      </w:r>
      <w:r w:rsidR="003D6D1C">
        <w:rPr>
          <w:rFonts w:eastAsia="Calibri"/>
        </w:rPr>
        <w:t>As such, the provision of eye health and vision care can drive</w:t>
      </w:r>
      <w:r>
        <w:rPr>
          <w:rFonts w:eastAsia="Calibri"/>
        </w:rPr>
        <w:t xml:space="preserve"> </w:t>
      </w:r>
      <w:r w:rsidR="003D6D1C">
        <w:rPr>
          <w:rFonts w:eastAsia="Calibri"/>
        </w:rPr>
        <w:t>systemic change across numerous</w:t>
      </w:r>
      <w:r>
        <w:rPr>
          <w:rFonts w:eastAsia="Calibri"/>
        </w:rPr>
        <w:t xml:space="preserve"> </w:t>
      </w:r>
      <w:r w:rsidR="003D6D1C">
        <w:rPr>
          <w:rFonts w:eastAsia="Calibri"/>
        </w:rPr>
        <w:t>SDGs</w:t>
      </w:r>
      <w:r>
        <w:rPr>
          <w:rFonts w:eastAsia="Calibri"/>
        </w:rPr>
        <w:t xml:space="preserve"> including those related to poverty, gender equality, quality education and reduced inequalities. Australia </w:t>
      </w:r>
      <w:proofErr w:type="gramStart"/>
      <w:r>
        <w:rPr>
          <w:rFonts w:eastAsia="Calibri"/>
        </w:rPr>
        <w:t>is uniquely positioned</w:t>
      </w:r>
      <w:proofErr w:type="gramEnd"/>
      <w:r>
        <w:rPr>
          <w:rFonts w:eastAsia="Calibri"/>
        </w:rPr>
        <w:t xml:space="preserve"> to </w:t>
      </w:r>
      <w:r w:rsidR="003D6D1C">
        <w:rPr>
          <w:rFonts w:eastAsia="Calibri"/>
        </w:rPr>
        <w:t xml:space="preserve">help </w:t>
      </w:r>
      <w:r>
        <w:rPr>
          <w:rFonts w:eastAsia="Calibri"/>
        </w:rPr>
        <w:t xml:space="preserve">deliver on all of </w:t>
      </w:r>
      <w:r w:rsidR="003D6D1C">
        <w:rPr>
          <w:rFonts w:eastAsia="Calibri"/>
        </w:rPr>
        <w:t>the SDGs</w:t>
      </w:r>
      <w:r>
        <w:rPr>
          <w:rFonts w:eastAsia="Calibri"/>
        </w:rPr>
        <w:t xml:space="preserve"> and ensure that the Goals guiding principle of ‘no-one left behind’ is realised in the Indo-Pacific.</w:t>
      </w:r>
    </w:p>
    <w:p w14:paraId="06F760EA" w14:textId="03E1A0B0" w:rsidR="00095F2D" w:rsidRDefault="00095F2D" w:rsidP="00095F2D">
      <w:pPr>
        <w:pStyle w:val="BodyText"/>
      </w:pPr>
      <w:r>
        <w:t xml:space="preserve">The decline in </w:t>
      </w:r>
      <w:r w:rsidRPr="00EC332A">
        <w:t xml:space="preserve">Australian aid in recent years threatens to </w:t>
      </w:r>
      <w:r>
        <w:t xml:space="preserve">diminish achievements made thus far, particularly at this time when the number of people at risk of vision impairment </w:t>
      </w:r>
      <w:proofErr w:type="gramStart"/>
      <w:r>
        <w:t>is forecasted</w:t>
      </w:r>
      <w:proofErr w:type="gramEnd"/>
      <w:r>
        <w:t xml:space="preserve"> to rise.</w:t>
      </w:r>
      <w:r w:rsidRPr="00EC332A">
        <w:t xml:space="preserve"> </w:t>
      </w:r>
      <w:r>
        <w:t>P</w:t>
      </w:r>
      <w:r w:rsidRPr="00EC332A">
        <w:t>opulation grow</w:t>
      </w:r>
      <w:r>
        <w:t>th</w:t>
      </w:r>
      <w:r w:rsidRPr="00EC332A">
        <w:t xml:space="preserve"> and </w:t>
      </w:r>
      <w:r>
        <w:t>ageing is</w:t>
      </w:r>
      <w:r w:rsidRPr="00EC332A">
        <w:t xml:space="preserve"> an issue for public policy across the board and eye health is no exception.</w:t>
      </w:r>
      <w:r>
        <w:t xml:space="preserve"> As Australia is seeking </w:t>
      </w:r>
      <w:proofErr w:type="gramStart"/>
      <w:r>
        <w:t>to further establish</w:t>
      </w:r>
      <w:proofErr w:type="gramEnd"/>
      <w:r>
        <w:t xml:space="preserve"> its leadership role in the Indo-Pacific, there is the opportunity to draw upon past successes and champion the effort to help combat avoidable blindness.</w:t>
      </w:r>
      <w:r w:rsidRPr="00EC332A">
        <w:t xml:space="preserve"> </w:t>
      </w:r>
    </w:p>
    <w:p w14:paraId="5B4DB797" w14:textId="77777777" w:rsidR="00095F2D" w:rsidRPr="00E66AFC" w:rsidRDefault="00095F2D" w:rsidP="00095F2D">
      <w:pPr>
        <w:pStyle w:val="Heading3"/>
        <w:ind w:left="720"/>
        <w:rPr>
          <w:i/>
        </w:rPr>
      </w:pPr>
      <w:r w:rsidRPr="00E66AFC">
        <w:rPr>
          <w:i/>
        </w:rPr>
        <w:t>Recommendation</w:t>
      </w:r>
    </w:p>
    <w:p w14:paraId="4F88F9BD" w14:textId="77777777" w:rsidR="00095F2D" w:rsidRDefault="00095F2D" w:rsidP="00095F2D">
      <w:pPr>
        <w:pStyle w:val="BodyText"/>
        <w:ind w:left="720"/>
      </w:pPr>
      <w:r w:rsidRPr="00E66AFC">
        <w:t xml:space="preserve">Australia must continue to provide leadership on eye health in the Indo-Pacific to help protect the significant gains that </w:t>
      </w:r>
      <w:proofErr w:type="gramStart"/>
      <w:r w:rsidRPr="00E66AFC">
        <w:t>have been made</w:t>
      </w:r>
      <w:proofErr w:type="gramEnd"/>
      <w:r w:rsidRPr="00E66AFC">
        <w:t xml:space="preserve"> and strive for the elimination of avoidable blindness</w:t>
      </w:r>
      <w:r>
        <w:t>.</w:t>
      </w:r>
    </w:p>
    <w:p w14:paraId="54E1B85A" w14:textId="77777777" w:rsidR="00DF74A2" w:rsidRDefault="00DF74A2" w:rsidP="00DF74A2">
      <w:pPr>
        <w:pStyle w:val="Heading2"/>
      </w:pPr>
      <w:bookmarkStart w:id="6" w:name="_Toc527025399"/>
      <w:r>
        <w:t>Capacity building</w:t>
      </w:r>
      <w:bookmarkEnd w:id="6"/>
    </w:p>
    <w:p w14:paraId="6F9C0306" w14:textId="4B8146C8" w:rsidR="00DF74A2" w:rsidRDefault="00DF74A2" w:rsidP="00DF74A2">
      <w:pPr>
        <w:pStyle w:val="BodyText"/>
      </w:pPr>
      <w:r>
        <w:rPr>
          <w:rFonts w:eastAsia="Calibri"/>
        </w:rPr>
        <w:t xml:space="preserve">Sustainable capacity building programs are central to the work undertaken by the eye health and vision care sector, through sharing the expertise, experience and systems that promote the local development of eye health workforces in the Indo-Pacific. </w:t>
      </w:r>
      <w:r>
        <w:t xml:space="preserve">The Australian Government’s past </w:t>
      </w:r>
      <w:r w:rsidR="00907127">
        <w:t>support for</w:t>
      </w:r>
      <w:r>
        <w:t xml:space="preserve"> the Avoidable Blindness </w:t>
      </w:r>
      <w:r w:rsidR="000243DD">
        <w:t>Initiative</w:t>
      </w:r>
      <w:r>
        <w:t xml:space="preserve"> </w:t>
      </w:r>
      <w:r w:rsidR="000A0FBF">
        <w:t>reinforced Australia’s</w:t>
      </w:r>
      <w:r>
        <w:t xml:space="preserve"> reputation as an effective development partner and a global leader in international development.</w:t>
      </w:r>
    </w:p>
    <w:p w14:paraId="4F2CF118" w14:textId="77777777" w:rsidR="00DF74A2" w:rsidRPr="00443A9C" w:rsidRDefault="00DF74A2" w:rsidP="00DF74A2">
      <w:pPr>
        <w:pStyle w:val="BodyText"/>
        <w:rPr>
          <w:rFonts w:eastAsia="Calibri"/>
        </w:rPr>
      </w:pPr>
      <w:r>
        <w:rPr>
          <w:rFonts w:eastAsia="Calibri"/>
        </w:rPr>
        <w:t>The East Asia Vision Program (EAVP), delivered</w:t>
      </w:r>
      <w:r w:rsidRPr="00443A9C">
        <w:rPr>
          <w:rFonts w:eastAsia="Calibri"/>
        </w:rPr>
        <w:t xml:space="preserve"> by the Vision 2020 Australia Global Consortium</w:t>
      </w:r>
      <w:r>
        <w:rPr>
          <w:rFonts w:eastAsia="Calibri"/>
        </w:rPr>
        <w:t xml:space="preserve"> and partners</w:t>
      </w:r>
      <w:r w:rsidRPr="00443A9C">
        <w:rPr>
          <w:rFonts w:eastAsia="Calibri"/>
        </w:rPr>
        <w:t>,</w:t>
      </w:r>
      <w:r>
        <w:rPr>
          <w:rFonts w:eastAsia="Calibri"/>
        </w:rPr>
        <w:t xml:space="preserve"> demonstrates how inclusive aid programming </w:t>
      </w:r>
      <w:r w:rsidR="00907127">
        <w:rPr>
          <w:rFonts w:eastAsia="Calibri"/>
        </w:rPr>
        <w:t xml:space="preserve">can positively </w:t>
      </w:r>
      <w:r>
        <w:rPr>
          <w:rFonts w:eastAsia="Calibri"/>
        </w:rPr>
        <w:t>influence regional relationships. Over</w:t>
      </w:r>
      <w:r w:rsidRPr="00443A9C">
        <w:rPr>
          <w:rFonts w:eastAsia="Calibri"/>
        </w:rPr>
        <w:t xml:space="preserve"> </w:t>
      </w:r>
      <w:r w:rsidR="00095F2D">
        <w:rPr>
          <w:rFonts w:eastAsia="Calibri"/>
        </w:rPr>
        <w:t xml:space="preserve">a </w:t>
      </w:r>
      <w:proofErr w:type="gramStart"/>
      <w:r w:rsidR="00095F2D">
        <w:rPr>
          <w:rFonts w:eastAsia="Calibri"/>
        </w:rPr>
        <w:t>three</w:t>
      </w:r>
      <w:r w:rsidRPr="00443A9C">
        <w:rPr>
          <w:rFonts w:eastAsia="Calibri"/>
        </w:rPr>
        <w:t xml:space="preserve"> yea</w:t>
      </w:r>
      <w:r w:rsidR="00907127">
        <w:rPr>
          <w:rFonts w:eastAsia="Calibri"/>
        </w:rPr>
        <w:t>r</w:t>
      </w:r>
      <w:proofErr w:type="gramEnd"/>
      <w:r w:rsidR="00907127">
        <w:rPr>
          <w:rFonts w:eastAsia="Calibri"/>
        </w:rPr>
        <w:t xml:space="preserve"> period</w:t>
      </w:r>
      <w:r>
        <w:rPr>
          <w:rFonts w:eastAsia="Calibri"/>
        </w:rPr>
        <w:t>,</w:t>
      </w:r>
      <w:r w:rsidRPr="00443A9C">
        <w:rPr>
          <w:rFonts w:eastAsia="Calibri"/>
        </w:rPr>
        <w:t xml:space="preserve"> 277 new </w:t>
      </w:r>
      <w:r>
        <w:rPr>
          <w:rFonts w:eastAsia="Calibri"/>
        </w:rPr>
        <w:t xml:space="preserve">eye health professionals were trained, including </w:t>
      </w:r>
      <w:r w:rsidRPr="00443A9C">
        <w:rPr>
          <w:rFonts w:eastAsia="Calibri"/>
        </w:rPr>
        <w:t>ophthalmologists, cataract surgeons, ophthalmic nurses, orientation and mobility specialists and spectacle technicians</w:t>
      </w:r>
      <w:r w:rsidRPr="00443A9C">
        <w:rPr>
          <w:rStyle w:val="FootnoteReference"/>
          <w:rFonts w:eastAsia="Calibri"/>
          <w:szCs w:val="22"/>
        </w:rPr>
        <w:footnoteReference w:id="11"/>
      </w:r>
      <w:r w:rsidRPr="00443A9C">
        <w:rPr>
          <w:rFonts w:eastAsia="Calibri"/>
        </w:rPr>
        <w:t xml:space="preserve">. </w:t>
      </w:r>
      <w:r>
        <w:rPr>
          <w:rFonts w:eastAsia="Calibri"/>
        </w:rPr>
        <w:t>This train</w:t>
      </w:r>
      <w:r w:rsidRPr="00443A9C">
        <w:rPr>
          <w:rFonts w:eastAsia="Calibri"/>
        </w:rPr>
        <w:t xml:space="preserve">ing </w:t>
      </w:r>
      <w:r>
        <w:rPr>
          <w:rFonts w:eastAsia="Calibri"/>
        </w:rPr>
        <w:t>targeted</w:t>
      </w:r>
      <w:r w:rsidRPr="00443A9C">
        <w:rPr>
          <w:rFonts w:eastAsia="Calibri"/>
        </w:rPr>
        <w:t xml:space="preserve"> countries </w:t>
      </w:r>
      <w:r>
        <w:rPr>
          <w:rFonts w:eastAsia="Calibri"/>
        </w:rPr>
        <w:t xml:space="preserve">most in need and happen to be </w:t>
      </w:r>
      <w:r w:rsidRPr="00443A9C">
        <w:rPr>
          <w:rFonts w:eastAsia="Calibri"/>
        </w:rPr>
        <w:t xml:space="preserve">of significant strategic interest to Australia </w:t>
      </w:r>
      <w:r>
        <w:rPr>
          <w:rFonts w:eastAsia="Calibri"/>
        </w:rPr>
        <w:t>(</w:t>
      </w:r>
      <w:r w:rsidRPr="00443A9C">
        <w:rPr>
          <w:rFonts w:eastAsia="Calibri"/>
        </w:rPr>
        <w:t>Cambodia, Vie</w:t>
      </w:r>
      <w:r>
        <w:rPr>
          <w:rFonts w:eastAsia="Calibri"/>
        </w:rPr>
        <w:t xml:space="preserve">tnam and Timor-Leste). </w:t>
      </w:r>
    </w:p>
    <w:p w14:paraId="0A29FF90" w14:textId="77777777" w:rsidR="00DF74A2" w:rsidRPr="00443A9C" w:rsidRDefault="00DF74A2" w:rsidP="00DF74A2">
      <w:pPr>
        <w:pStyle w:val="BodyText"/>
        <w:rPr>
          <w:rStyle w:val="Heading3Char"/>
          <w:rFonts w:eastAsia="Calibri"/>
        </w:rPr>
      </w:pPr>
      <w:r w:rsidRPr="00443A9C">
        <w:rPr>
          <w:rFonts w:eastAsia="Calibri"/>
        </w:rPr>
        <w:t>Focusing on more than just health providers, the EAVP also provided training to school health staff and teachers to identify and screen for refractive errors.</w:t>
      </w:r>
      <w:r w:rsidRPr="001D6BDA">
        <w:rPr>
          <w:rFonts w:eastAsia="Calibri"/>
        </w:rPr>
        <w:t xml:space="preserve"> This is significant because uncorrected refractive error account</w:t>
      </w:r>
      <w:r>
        <w:rPr>
          <w:rFonts w:eastAsia="Calibri"/>
        </w:rPr>
        <w:t>s</w:t>
      </w:r>
      <w:r w:rsidRPr="001D6BDA">
        <w:rPr>
          <w:rFonts w:eastAsia="Calibri"/>
        </w:rPr>
        <w:t xml:space="preserve"> for over 50% of vision impairment in the Indo-Pacific region</w:t>
      </w:r>
      <w:r w:rsidRPr="001D6BDA">
        <w:rPr>
          <w:rFonts w:eastAsia="Calibri"/>
          <w:vertAlign w:val="superscript"/>
        </w:rPr>
        <w:footnoteReference w:id="12"/>
      </w:r>
      <w:r>
        <w:rPr>
          <w:rFonts w:eastAsia="Calibri"/>
        </w:rPr>
        <w:t xml:space="preserve">, and </w:t>
      </w:r>
      <w:proofErr w:type="gramStart"/>
      <w:r>
        <w:rPr>
          <w:rFonts w:eastAsia="Calibri"/>
        </w:rPr>
        <w:t>is easily treated</w:t>
      </w:r>
      <w:proofErr w:type="gramEnd"/>
      <w:r>
        <w:rPr>
          <w:rFonts w:eastAsia="Calibri"/>
        </w:rPr>
        <w:t xml:space="preserve"> through low cost interventions such as spectacles. Left uncorrected, refractive error </w:t>
      </w:r>
      <w:r w:rsidRPr="00443A9C">
        <w:rPr>
          <w:rFonts w:eastAsia="Calibri"/>
        </w:rPr>
        <w:t>represents a substantial barrier to educational and socio-economic mobility for low and middle-income countries</w:t>
      </w:r>
      <w:r w:rsidRPr="00443A9C">
        <w:rPr>
          <w:rStyle w:val="FootnoteReference"/>
          <w:rFonts w:eastAsia="Calibri"/>
          <w:szCs w:val="22"/>
        </w:rPr>
        <w:footnoteReference w:id="13"/>
      </w:r>
      <w:r w:rsidRPr="001D6BDA">
        <w:rPr>
          <w:rFonts w:eastAsia="Calibri"/>
        </w:rPr>
        <w:t>.</w:t>
      </w:r>
      <w:r>
        <w:rPr>
          <w:rFonts w:eastAsia="Calibri"/>
        </w:rPr>
        <w:t xml:space="preserve"> The act of</w:t>
      </w:r>
      <w:r w:rsidRPr="001D6BDA">
        <w:rPr>
          <w:rFonts w:eastAsia="Calibri"/>
        </w:rPr>
        <w:t xml:space="preserve"> </w:t>
      </w:r>
      <w:r>
        <w:rPr>
          <w:rFonts w:eastAsia="Calibri"/>
        </w:rPr>
        <w:t>r</w:t>
      </w:r>
      <w:r w:rsidRPr="009861F4">
        <w:rPr>
          <w:rFonts w:eastAsia="Calibri"/>
        </w:rPr>
        <w:t>estoring sight</w:t>
      </w:r>
      <w:r>
        <w:rPr>
          <w:rFonts w:eastAsia="Calibri"/>
        </w:rPr>
        <w:t xml:space="preserve"> provides proof of</w:t>
      </w:r>
      <w:r w:rsidRPr="009861F4">
        <w:rPr>
          <w:rFonts w:eastAsia="Calibri"/>
        </w:rPr>
        <w:t xml:space="preserve"> </w:t>
      </w:r>
      <w:r w:rsidR="00B4460F">
        <w:rPr>
          <w:rFonts w:eastAsia="Calibri"/>
        </w:rPr>
        <w:t xml:space="preserve">Australia’s </w:t>
      </w:r>
      <w:r w:rsidRPr="009861F4">
        <w:rPr>
          <w:rFonts w:eastAsia="Calibri"/>
        </w:rPr>
        <w:t>leadership</w:t>
      </w:r>
      <w:r>
        <w:rPr>
          <w:rFonts w:eastAsia="Calibri"/>
        </w:rPr>
        <w:t xml:space="preserve"> as well as </w:t>
      </w:r>
      <w:r w:rsidR="00B4460F">
        <w:rPr>
          <w:rFonts w:eastAsia="Calibri"/>
        </w:rPr>
        <w:t xml:space="preserve">supporting </w:t>
      </w:r>
      <w:r>
        <w:rPr>
          <w:rFonts w:eastAsia="Calibri"/>
        </w:rPr>
        <w:t>empowerment for</w:t>
      </w:r>
      <w:r w:rsidRPr="009861F4">
        <w:rPr>
          <w:rFonts w:eastAsia="Calibri"/>
        </w:rPr>
        <w:t xml:space="preserve"> </w:t>
      </w:r>
      <w:r>
        <w:rPr>
          <w:rFonts w:eastAsia="Calibri"/>
        </w:rPr>
        <w:t xml:space="preserve">those who have </w:t>
      </w:r>
      <w:r w:rsidRPr="009861F4">
        <w:rPr>
          <w:rFonts w:eastAsia="Calibri"/>
        </w:rPr>
        <w:t>experience</w:t>
      </w:r>
      <w:r>
        <w:rPr>
          <w:rFonts w:eastAsia="Calibri"/>
        </w:rPr>
        <w:t>d vision loss</w:t>
      </w:r>
      <w:r w:rsidRPr="009861F4">
        <w:rPr>
          <w:rFonts w:eastAsia="Calibri"/>
        </w:rPr>
        <w:t>.</w:t>
      </w:r>
    </w:p>
    <w:p w14:paraId="083DE2A0" w14:textId="77777777" w:rsidR="00DF74A2" w:rsidRDefault="00DF74A2" w:rsidP="00DF74A2">
      <w:pPr>
        <w:pStyle w:val="BodyText"/>
        <w:rPr>
          <w:rFonts w:eastAsia="Calibri"/>
        </w:rPr>
      </w:pPr>
      <w:r w:rsidRPr="00443A9C">
        <w:rPr>
          <w:rFonts w:eastAsia="Calibri"/>
        </w:rPr>
        <w:t xml:space="preserve">To guarantee the sustainability and stability of the EAVP, the Ministries of Health in each country were actively involved in the process and all actions </w:t>
      </w:r>
      <w:proofErr w:type="gramStart"/>
      <w:r w:rsidRPr="00443A9C">
        <w:rPr>
          <w:rFonts w:eastAsia="Calibri"/>
        </w:rPr>
        <w:t>were aligned</w:t>
      </w:r>
      <w:proofErr w:type="gramEnd"/>
      <w:r w:rsidRPr="00443A9C">
        <w:rPr>
          <w:rFonts w:eastAsia="Calibri"/>
        </w:rPr>
        <w:t xml:space="preserve"> with national eye health policies and frameworks. Extensive actions </w:t>
      </w:r>
      <w:proofErr w:type="gramStart"/>
      <w:r w:rsidRPr="00443A9C">
        <w:rPr>
          <w:rFonts w:eastAsia="Calibri"/>
        </w:rPr>
        <w:t>were also undertaken</w:t>
      </w:r>
      <w:proofErr w:type="gramEnd"/>
      <w:r w:rsidRPr="00443A9C">
        <w:rPr>
          <w:rFonts w:eastAsia="Calibri"/>
        </w:rPr>
        <w:t xml:space="preserve"> to develop relationships with local stakeholders to foster local ownership and utilise expertise when designing program activities. Aligning objectives with national priorities guarantees that </w:t>
      </w:r>
      <w:r w:rsidR="00124857">
        <w:rPr>
          <w:rFonts w:eastAsia="Calibri"/>
        </w:rPr>
        <w:t xml:space="preserve">programs </w:t>
      </w:r>
      <w:r w:rsidRPr="00443A9C">
        <w:rPr>
          <w:rFonts w:eastAsia="Calibri"/>
        </w:rPr>
        <w:t>delivered serve the interests and needs of the local population.</w:t>
      </w:r>
      <w:r>
        <w:rPr>
          <w:rFonts w:eastAsia="Calibri"/>
        </w:rPr>
        <w:t xml:space="preserve"> This demonstrates Australia’s leadership in the Indo-Pacific and </w:t>
      </w:r>
      <w:proofErr w:type="gramStart"/>
      <w:r>
        <w:rPr>
          <w:rFonts w:eastAsia="Calibri"/>
        </w:rPr>
        <w:t>is viewed</w:t>
      </w:r>
      <w:proofErr w:type="gramEnd"/>
      <w:r>
        <w:rPr>
          <w:rFonts w:eastAsia="Calibri"/>
        </w:rPr>
        <w:t xml:space="preserve"> as a significant strength and asset by regional neighbours.  </w:t>
      </w:r>
    </w:p>
    <w:p w14:paraId="492BC727" w14:textId="77777777" w:rsidR="00DF74A2" w:rsidRDefault="00DF74A2" w:rsidP="00DF74A2">
      <w:pPr>
        <w:pStyle w:val="BodyText"/>
        <w:rPr>
          <w:rFonts w:ascii="Trebuchet MS" w:eastAsia="Calibri" w:hAnsi="Trebuchet MS"/>
        </w:rPr>
      </w:pPr>
      <w:r>
        <w:rPr>
          <w:rFonts w:eastAsia="Calibri"/>
        </w:rPr>
        <w:t xml:space="preserve">Inclusive aid programming can also build capacity for countries to tackle complex social and human rights issues, including the empowerment of women and girls, and disability inclusiveness and participation. Women </w:t>
      </w:r>
      <w:proofErr w:type="gramStart"/>
      <w:r>
        <w:rPr>
          <w:rFonts w:eastAsia="Calibri"/>
        </w:rPr>
        <w:t>are disproportionately affected</w:t>
      </w:r>
      <w:proofErr w:type="gramEnd"/>
      <w:r>
        <w:rPr>
          <w:rFonts w:eastAsia="Calibri"/>
        </w:rPr>
        <w:t xml:space="preserve"> by blindness and vision loss, accounting for approximately 55% of all people who are blind globally</w:t>
      </w:r>
      <w:r>
        <w:rPr>
          <w:rStyle w:val="FootnoteReference"/>
          <w:rFonts w:eastAsia="Calibri"/>
        </w:rPr>
        <w:footnoteReference w:id="14"/>
      </w:r>
      <w:r>
        <w:rPr>
          <w:rFonts w:eastAsia="Calibri"/>
        </w:rPr>
        <w:t>. There are systemic social and economic barriers that prevent women and girls from accessing eye care in the Indo-Pacific.</w:t>
      </w:r>
      <w:r>
        <w:rPr>
          <w:rFonts w:ascii="Times New Roman" w:hAnsi="Times New Roman"/>
          <w:sz w:val="24"/>
        </w:rPr>
        <w:t xml:space="preserve"> </w:t>
      </w:r>
      <w:r w:rsidRPr="001D6BDA">
        <w:rPr>
          <w:rFonts w:ascii="Trebuchet MS" w:eastAsia="Calibri" w:hAnsi="Trebuchet MS"/>
        </w:rPr>
        <w:t xml:space="preserve">The EAVP encouraged greater participation in both the training and screening for women in Cambodia, Vietnam and Timor-Leste. Over half of the eye health professionals who </w:t>
      </w:r>
      <w:proofErr w:type="gramStart"/>
      <w:r w:rsidRPr="001D6BDA">
        <w:rPr>
          <w:rFonts w:ascii="Trebuchet MS" w:eastAsia="Calibri" w:hAnsi="Trebuchet MS"/>
        </w:rPr>
        <w:t>were trained</w:t>
      </w:r>
      <w:proofErr w:type="gramEnd"/>
      <w:r w:rsidRPr="001D6BDA">
        <w:rPr>
          <w:rFonts w:ascii="Trebuchet MS" w:eastAsia="Calibri" w:hAnsi="Trebuchet MS"/>
        </w:rPr>
        <w:t xml:space="preserve"> in the program were </w:t>
      </w:r>
      <w:r>
        <w:rPr>
          <w:rFonts w:ascii="Trebuchet MS" w:eastAsia="Calibri" w:hAnsi="Trebuchet MS"/>
        </w:rPr>
        <w:t>women</w:t>
      </w:r>
      <w:r w:rsidRPr="001D6BDA">
        <w:rPr>
          <w:rFonts w:ascii="Trebuchet MS" w:eastAsia="Calibri" w:hAnsi="Trebuchet MS"/>
        </w:rPr>
        <w:t>, increasing both their earning capacity and the likelihood of women and girls accessing appropriate screening and health professionals when seeking treatment for vision loss</w:t>
      </w:r>
      <w:r w:rsidRPr="001D6BDA">
        <w:rPr>
          <w:rFonts w:ascii="Trebuchet MS" w:eastAsia="Calibri" w:hAnsi="Trebuchet MS"/>
          <w:vertAlign w:val="superscript"/>
        </w:rPr>
        <w:footnoteReference w:id="15"/>
      </w:r>
      <w:r w:rsidRPr="001D6BDA">
        <w:rPr>
          <w:rFonts w:ascii="Trebuchet MS" w:eastAsia="Calibri" w:hAnsi="Trebuchet MS"/>
        </w:rPr>
        <w:t>.</w:t>
      </w:r>
      <w:r>
        <w:rPr>
          <w:rFonts w:ascii="Trebuchet MS" w:eastAsia="Calibri" w:hAnsi="Trebuchet MS"/>
        </w:rPr>
        <w:t xml:space="preserve"> Programs aimed at empowerment can strengthen Australia’s reputation in the Indo-Pacific and across the globe. </w:t>
      </w:r>
    </w:p>
    <w:p w14:paraId="2F83F165" w14:textId="77777777" w:rsidR="00DF74A2" w:rsidRDefault="00DF74A2" w:rsidP="00DF74A2">
      <w:pPr>
        <w:pStyle w:val="BodyText"/>
        <w:rPr>
          <w:rFonts w:ascii="Trebuchet MS" w:eastAsia="Calibri" w:hAnsi="Trebuchet MS"/>
        </w:rPr>
      </w:pPr>
      <w:proofErr w:type="gramStart"/>
      <w:r>
        <w:rPr>
          <w:rFonts w:ascii="Trebuchet MS" w:eastAsia="Calibri" w:hAnsi="Trebuchet MS"/>
        </w:rPr>
        <w:t>Australia’s</w:t>
      </w:r>
      <w:proofErr w:type="gramEnd"/>
      <w:r>
        <w:rPr>
          <w:rFonts w:ascii="Trebuchet MS" w:eastAsia="Calibri" w:hAnsi="Trebuchet MS"/>
        </w:rPr>
        <w:t xml:space="preserve"> continued efforts to provide economic and social empowerment to the Indo-Pacific, expands the influence and connections with countries in the region. Australia can continue to demonstrate leadership in this way.</w:t>
      </w:r>
    </w:p>
    <w:p w14:paraId="73D07B71" w14:textId="77777777" w:rsidR="00DF74A2" w:rsidRPr="00E66AFC" w:rsidRDefault="00DF74A2" w:rsidP="00DF74A2">
      <w:pPr>
        <w:pStyle w:val="Heading3"/>
        <w:ind w:firstLine="720"/>
        <w:rPr>
          <w:rFonts w:eastAsia="Calibri"/>
          <w:i/>
        </w:rPr>
      </w:pPr>
      <w:r w:rsidRPr="00E66AFC">
        <w:rPr>
          <w:rFonts w:eastAsia="Calibri"/>
          <w:i/>
        </w:rPr>
        <w:t>Recommendation</w:t>
      </w:r>
    </w:p>
    <w:p w14:paraId="201C9065" w14:textId="67F70F9B" w:rsidR="00DF74A2" w:rsidRPr="00722392" w:rsidRDefault="00DF74A2" w:rsidP="00DF74A2">
      <w:pPr>
        <w:pStyle w:val="BodyText"/>
        <w:ind w:left="720"/>
        <w:rPr>
          <w:rFonts w:eastAsia="Calibri"/>
        </w:rPr>
      </w:pPr>
      <w:r w:rsidRPr="00E66AFC">
        <w:rPr>
          <w:rFonts w:eastAsia="Calibri"/>
        </w:rPr>
        <w:t xml:space="preserve">The Australian Government explores the implementation of new inclusive eye health programs to build upon </w:t>
      </w:r>
      <w:r w:rsidR="00326314">
        <w:rPr>
          <w:rFonts w:eastAsia="Calibri"/>
        </w:rPr>
        <w:t>previous</w:t>
      </w:r>
      <w:r w:rsidRPr="00E66AFC">
        <w:rPr>
          <w:rFonts w:eastAsia="Calibri"/>
        </w:rPr>
        <w:t xml:space="preserve"> successes </w:t>
      </w:r>
      <w:r w:rsidR="00326314">
        <w:rPr>
          <w:rFonts w:eastAsia="Calibri"/>
        </w:rPr>
        <w:t>in the Indo-Pacific</w:t>
      </w:r>
      <w:r w:rsidR="00095F2D">
        <w:rPr>
          <w:rFonts w:eastAsia="Calibri"/>
        </w:rPr>
        <w:t>.</w:t>
      </w:r>
    </w:p>
    <w:p w14:paraId="02DC2D5D" w14:textId="4F9D5FC8" w:rsidR="00DF74A2" w:rsidRDefault="00DF74A2" w:rsidP="00DF74A2">
      <w:pPr>
        <w:pStyle w:val="Heading2"/>
      </w:pPr>
      <w:bookmarkStart w:id="7" w:name="_Toc527025400"/>
      <w:r>
        <w:t>Research, science and technological advancement</w:t>
      </w:r>
      <w:bookmarkEnd w:id="7"/>
    </w:p>
    <w:p w14:paraId="53C504E0" w14:textId="77777777" w:rsidR="00DF74A2" w:rsidRDefault="00DF74A2" w:rsidP="00DF74A2">
      <w:pPr>
        <w:pStyle w:val="BodyText"/>
      </w:pPr>
      <w:r>
        <w:t>Australia is a leader in research, science and technological advancement, including that in the field of eye health</w:t>
      </w:r>
      <w:r>
        <w:rPr>
          <w:rStyle w:val="FootnoteReference"/>
        </w:rPr>
        <w:footnoteReference w:id="16"/>
      </w:r>
      <w:r>
        <w:t>. The exporting and harnessing of these advancements can provide benefits to the health outcomes of regional neighbours and is an important soft power asset.</w:t>
      </w:r>
    </w:p>
    <w:p w14:paraId="4858F924" w14:textId="77777777" w:rsidR="00907127" w:rsidRDefault="00DF74A2" w:rsidP="00DF74A2">
      <w:pPr>
        <w:pStyle w:val="BodyText"/>
      </w:pPr>
      <w:r>
        <w:t>The rise of telemedicine, which is the us</w:t>
      </w:r>
      <w:r w:rsidRPr="008A3A24">
        <w:t>e of advanced telecommunication technologies to exchange health information and provide health care services across geographic, time, social and cultural barriers</w:t>
      </w:r>
      <w:r>
        <w:rPr>
          <w:rStyle w:val="FootnoteReference"/>
        </w:rPr>
        <w:footnoteReference w:id="17"/>
      </w:r>
      <w:r>
        <w:t xml:space="preserve">, has had a profound effect on how eye health initiatives can be delivered in low resource remote settings. </w:t>
      </w:r>
    </w:p>
    <w:p w14:paraId="185ABCE9" w14:textId="77777777" w:rsidR="00DF74A2" w:rsidRDefault="00DF74A2" w:rsidP="00DF74A2">
      <w:pPr>
        <w:pStyle w:val="BodyText"/>
      </w:pPr>
      <w:r>
        <w:t>Advances in tele</w:t>
      </w:r>
      <w:r w:rsidR="00907127">
        <w:t>-</w:t>
      </w:r>
      <w:r>
        <w:t>ophthalmology</w:t>
      </w:r>
      <w:r w:rsidR="00907127">
        <w:t>, for example</w:t>
      </w:r>
      <w:r w:rsidR="00095F2D">
        <w:t>, can</w:t>
      </w:r>
      <w:r>
        <w:t xml:space="preserve"> be utilis</w:t>
      </w:r>
      <w:r w:rsidRPr="000B4135">
        <w:t xml:space="preserve">ed to </w:t>
      </w:r>
      <w:r w:rsidR="00907127">
        <w:t xml:space="preserve">help </w:t>
      </w:r>
      <w:r w:rsidRPr="000B4135">
        <w:t>provide quality eye care to under</w:t>
      </w:r>
      <w:r>
        <w:t>-</w:t>
      </w:r>
      <w:r w:rsidRPr="000B4135">
        <w:t>served urban population</w:t>
      </w:r>
      <w:r>
        <w:t>s</w:t>
      </w:r>
      <w:r w:rsidRPr="000B4135">
        <w:t xml:space="preserve"> and the unserved remote rural population</w:t>
      </w:r>
      <w:r>
        <w:t>s</w:t>
      </w:r>
      <w:r w:rsidRPr="000B4135">
        <w:rPr>
          <w:rStyle w:val="FootnoteReference"/>
        </w:rPr>
        <w:t xml:space="preserve"> </w:t>
      </w:r>
      <w:r>
        <w:t>in low resource settings across the globe</w:t>
      </w:r>
      <w:r>
        <w:rPr>
          <w:rStyle w:val="FootnoteReference"/>
        </w:rPr>
        <w:footnoteReference w:id="18"/>
      </w:r>
      <w:r>
        <w:t xml:space="preserve">. This has helped overcome the barriers of accessibility that prevent people from accessing the services they require. These advances </w:t>
      </w:r>
      <w:r w:rsidR="00907127">
        <w:t xml:space="preserve">can </w:t>
      </w:r>
      <w:r w:rsidR="00AD1E20">
        <w:t xml:space="preserve">allow for </w:t>
      </w:r>
      <w:r w:rsidR="00124857">
        <w:t xml:space="preserve">more </w:t>
      </w:r>
      <w:r w:rsidR="00AD1E20">
        <w:t xml:space="preserve">prompt </w:t>
      </w:r>
      <w:r>
        <w:t>diagnosis and formulation of treatment plans</w:t>
      </w:r>
      <w:r w:rsidR="00AD1E20">
        <w:t xml:space="preserve"> for numerous eye diseases including diabetic retinopathy and cataract,</w:t>
      </w:r>
      <w:r w:rsidR="00124857">
        <w:t xml:space="preserve"> as well as low vision testing</w:t>
      </w:r>
      <w:r w:rsidR="000243DD">
        <w:t>, improving</w:t>
      </w:r>
      <w:r w:rsidR="00AD1E20">
        <w:t xml:space="preserve"> patient access and outcomes</w:t>
      </w:r>
      <w:r>
        <w:rPr>
          <w:rStyle w:val="FootnoteReference"/>
        </w:rPr>
        <w:footnoteReference w:id="19"/>
      </w:r>
      <w:r>
        <w:t xml:space="preserve">. As Australian expertise continues to develop in this field, we have the capacity and capability to provide training and greater access to health professionals in the Indo-Pacific. The increasing interconnectedness of Australian and Pacific health workforces has the potential to establish and promote the interpersonal relationships required to strengthen Australian influence. </w:t>
      </w:r>
    </w:p>
    <w:p w14:paraId="6C0E0085" w14:textId="77777777" w:rsidR="00907127" w:rsidRDefault="00DF74A2" w:rsidP="00DF74A2">
      <w:pPr>
        <w:pStyle w:val="BodyText"/>
      </w:pPr>
      <w:r>
        <w:t xml:space="preserve">Artificial intelligence is also opening new avenues of treating increasingly prevalent non-communicable diseases such as diabetes mellitus. Irreversible vision impairment from diabetic complications is now the leading cause of new cases of blindness in the world. If the disease </w:t>
      </w:r>
      <w:proofErr w:type="gramStart"/>
      <w:r>
        <w:t>is detected early and treated appropriately,</w:t>
      </w:r>
      <w:proofErr w:type="gramEnd"/>
      <w:r>
        <w:t xml:space="preserve"> diabetic retinopathy is treatable in 98 per cent of cases</w:t>
      </w:r>
      <w:r>
        <w:rPr>
          <w:rStyle w:val="FootnoteReference"/>
        </w:rPr>
        <w:footnoteReference w:id="20"/>
      </w:r>
      <w:r>
        <w:t xml:space="preserve">. </w:t>
      </w:r>
    </w:p>
    <w:p w14:paraId="7036F243" w14:textId="77777777" w:rsidR="00907127" w:rsidRDefault="00DF74A2" w:rsidP="00DF74A2">
      <w:pPr>
        <w:pStyle w:val="BodyText"/>
      </w:pPr>
      <w:r>
        <w:t xml:space="preserve">To help combat this growing problem the Centre for Eye Research Australia (CERA), in collaboration with national eye care programmes in the region and the Fred Hollows Foundation, are developing an artificial intelligence diagnostic assistance system (the system). </w:t>
      </w:r>
    </w:p>
    <w:p w14:paraId="06F8EF9A" w14:textId="77777777" w:rsidR="00DF74A2" w:rsidRDefault="00DF74A2" w:rsidP="00DF74A2">
      <w:pPr>
        <w:pStyle w:val="BodyText"/>
      </w:pPr>
      <w:r>
        <w:t>The system analyses high quality pictures to diagnose blinding conditions such as diabetic retinopathy and several other leading causes of preventable blindness</w:t>
      </w:r>
      <w:r>
        <w:rPr>
          <w:rStyle w:val="FootnoteReference"/>
        </w:rPr>
        <w:footnoteReference w:id="21"/>
      </w:r>
      <w:r>
        <w:t>. In remote low-resource areas of the Indo-Pacific, the system has the potential to reach people outside of urban centres who do not have access to either optometrists or ophthalmologists. The system can diagnose eye diseases with 91.9 per cent accuracy</w:t>
      </w:r>
      <w:r>
        <w:rPr>
          <w:rStyle w:val="FootnoteReference"/>
        </w:rPr>
        <w:footnoteReference w:id="22"/>
      </w:r>
      <w:r>
        <w:t>, providing a verifiable and trustworthy service to people outside of easily accessed geographical locations.</w:t>
      </w:r>
    </w:p>
    <w:p w14:paraId="170C92C8" w14:textId="77777777" w:rsidR="00DF74A2" w:rsidRDefault="00DF74A2" w:rsidP="00DF74A2">
      <w:pPr>
        <w:pStyle w:val="BodyText"/>
      </w:pPr>
      <w:r>
        <w:t xml:space="preserve">With technological advancements in both artificial intelligence and medical imaging, the Australian eye health and vision care community </w:t>
      </w:r>
      <w:proofErr w:type="gramStart"/>
      <w:r w:rsidR="00DC788B">
        <w:t xml:space="preserve">is </w:t>
      </w:r>
      <w:r>
        <w:t>uniquely positioned</w:t>
      </w:r>
      <w:proofErr w:type="gramEnd"/>
      <w:r>
        <w:t xml:space="preserve"> to revolutionise and increase the accessibility of sight saving medical treatment and diagnoses into the Indo-Pacific. This will improve the quality of life for countless people and help preserve and deliver Australia’s own national interests in the region. While fulfilling Australia’s</w:t>
      </w:r>
      <w:r w:rsidRPr="00A738E0">
        <w:t xml:space="preserve"> international and moral obligations</w:t>
      </w:r>
      <w:r>
        <w:t>,</w:t>
      </w:r>
      <w:r w:rsidRPr="00A738E0">
        <w:t xml:space="preserve"> </w:t>
      </w:r>
      <w:r>
        <w:t>this will</w:t>
      </w:r>
      <w:r w:rsidRPr="00A738E0">
        <w:t xml:space="preserve"> frame Australia as a regional leader capable of providing greater economic and social security throughout the Indo-Pacific</w:t>
      </w:r>
      <w:r>
        <w:t>.</w:t>
      </w:r>
    </w:p>
    <w:p w14:paraId="5867C019" w14:textId="77777777" w:rsidR="00DF74A2" w:rsidRPr="00E66AFC" w:rsidRDefault="00DF74A2" w:rsidP="00DF74A2">
      <w:pPr>
        <w:pStyle w:val="Heading3"/>
        <w:ind w:firstLine="720"/>
        <w:rPr>
          <w:i/>
        </w:rPr>
      </w:pPr>
      <w:r w:rsidRPr="00E66AFC">
        <w:rPr>
          <w:i/>
        </w:rPr>
        <w:t>Recommendation</w:t>
      </w:r>
    </w:p>
    <w:p w14:paraId="1F4156D3" w14:textId="688C77F1" w:rsidR="00DF74A2" w:rsidRPr="00722392" w:rsidRDefault="00DF74A2" w:rsidP="00DF74A2">
      <w:pPr>
        <w:pStyle w:val="BodyText"/>
        <w:ind w:left="720"/>
      </w:pPr>
      <w:r w:rsidRPr="00E66AFC">
        <w:t xml:space="preserve">That the Australian Government continues </w:t>
      </w:r>
      <w:r w:rsidR="00FB5715">
        <w:t>to collaborate</w:t>
      </w:r>
      <w:r w:rsidRPr="00E66AFC">
        <w:t xml:space="preserve"> with the eye health sector to further the reach of</w:t>
      </w:r>
      <w:r w:rsidR="00505FDE">
        <w:t xml:space="preserve"> technological advancements in a</w:t>
      </w:r>
      <w:r w:rsidRPr="00E66AFC">
        <w:t xml:space="preserve">rtificial </w:t>
      </w:r>
      <w:r w:rsidR="00505FDE">
        <w:t>intelligence and t</w:t>
      </w:r>
      <w:r w:rsidRPr="00E66AFC">
        <w:t>ele</w:t>
      </w:r>
      <w:r w:rsidR="00095F2D">
        <w:t>-</w:t>
      </w:r>
      <w:r w:rsidRPr="00E66AFC">
        <w:t>ophthalmology into the Indo-Pacific.</w:t>
      </w:r>
    </w:p>
    <w:p w14:paraId="5F775F5A" w14:textId="77777777" w:rsidR="00DF74A2" w:rsidRDefault="00DF74A2" w:rsidP="00DF74A2">
      <w:pPr>
        <w:pStyle w:val="Heading2"/>
      </w:pPr>
      <w:bookmarkStart w:id="8" w:name="_Toc527025401"/>
      <w:r>
        <w:t>Guarding against the increasing prevalence of myopia and non-communicable diseases such as diabetic retinopathy</w:t>
      </w:r>
      <w:bookmarkEnd w:id="8"/>
      <w:r>
        <w:t xml:space="preserve"> </w:t>
      </w:r>
    </w:p>
    <w:p w14:paraId="0191DCC3" w14:textId="77777777" w:rsidR="00DF74A2" w:rsidRPr="00AD1E20" w:rsidRDefault="00DF74A2" w:rsidP="00AD1E20">
      <w:pPr>
        <w:pStyle w:val="BodyText"/>
        <w:rPr>
          <w:rFonts w:eastAsia="Calibri"/>
        </w:rPr>
      </w:pPr>
      <w:r>
        <w:rPr>
          <w:rFonts w:eastAsia="Calibri"/>
        </w:rPr>
        <w:t>The commitment by the Australian Government to respond to emerging health trends in the Indo-Pacific is a strong soft power asset and promotes Australia’s national interests in the region. Australia’s health system is widely regarded as one of the best in the world</w:t>
      </w:r>
      <w:r w:rsidR="00254E82">
        <w:rPr>
          <w:rFonts w:eastAsia="Calibri"/>
        </w:rPr>
        <w:t xml:space="preserve"> and </w:t>
      </w:r>
      <w:r>
        <w:rPr>
          <w:rFonts w:eastAsia="Calibri"/>
        </w:rPr>
        <w:t xml:space="preserve">responding to emerging health crises outside the sole remit of infectious diseases provides another soft </w:t>
      </w:r>
      <w:r w:rsidRPr="00AD1E20">
        <w:rPr>
          <w:rFonts w:eastAsia="Calibri"/>
        </w:rPr>
        <w:t xml:space="preserve">power influence. </w:t>
      </w:r>
    </w:p>
    <w:p w14:paraId="53CEC8E1" w14:textId="77777777" w:rsidR="00AD1E20" w:rsidRPr="00AD1E20" w:rsidRDefault="00AD1E20" w:rsidP="00AD1E20">
      <w:pPr>
        <w:pStyle w:val="Heading3"/>
        <w:rPr>
          <w:rFonts w:eastAsia="Calibri"/>
        </w:rPr>
      </w:pPr>
      <w:r w:rsidRPr="00AD1E20">
        <w:rPr>
          <w:rFonts w:eastAsia="Calibri"/>
        </w:rPr>
        <w:t>Myopia</w:t>
      </w:r>
    </w:p>
    <w:p w14:paraId="3EFD47BE" w14:textId="286E8410" w:rsidR="00AD1E20" w:rsidRDefault="00DF74A2" w:rsidP="00AD1E20">
      <w:pPr>
        <w:pStyle w:val="BodyText"/>
        <w:rPr>
          <w:rFonts w:eastAsia="Calibri"/>
        </w:rPr>
      </w:pPr>
      <w:r w:rsidRPr="00AD1E20">
        <w:rPr>
          <w:rFonts w:eastAsia="Calibri"/>
        </w:rPr>
        <w:t xml:space="preserve">The prevalence of myopia, more commonly referred to as </w:t>
      </w:r>
      <w:proofErr w:type="gramStart"/>
      <w:r w:rsidR="00AD1E20" w:rsidRPr="00AD1E20">
        <w:rPr>
          <w:rFonts w:eastAsia="Calibri"/>
        </w:rPr>
        <w:t>short-sightedness</w:t>
      </w:r>
      <w:proofErr w:type="gramEnd"/>
      <w:r w:rsidRPr="00AD1E20">
        <w:rPr>
          <w:rFonts w:eastAsia="Calibri"/>
        </w:rPr>
        <w:t>, is increasing at an alarming rate in both the</w:t>
      </w:r>
      <w:r w:rsidRPr="00742B9A">
        <w:rPr>
          <w:rFonts w:eastAsia="Calibri"/>
        </w:rPr>
        <w:t xml:space="preserve"> People’s Republic of China and the Republic of Korea. In a study of school-aged children in the Chinese province of Guangzhou, over 50 per cent of children between the ages of 13 to 15 years old </w:t>
      </w:r>
      <w:proofErr w:type="gramStart"/>
      <w:r w:rsidRPr="00742B9A">
        <w:rPr>
          <w:rFonts w:eastAsia="Calibri"/>
        </w:rPr>
        <w:t>were identified</w:t>
      </w:r>
      <w:proofErr w:type="gramEnd"/>
      <w:r w:rsidRPr="00742B9A">
        <w:rPr>
          <w:rFonts w:eastAsia="Calibri"/>
        </w:rPr>
        <w:t xml:space="preserve"> as living with myopia</w:t>
      </w:r>
      <w:r w:rsidR="003D6D1C">
        <w:rPr>
          <w:rFonts w:eastAsia="Calibri"/>
        </w:rPr>
        <w:t>,</w:t>
      </w:r>
      <w:r w:rsidRPr="00742B9A">
        <w:rPr>
          <w:rFonts w:eastAsia="Calibri"/>
        </w:rPr>
        <w:t xml:space="preserve"> with</w:t>
      </w:r>
      <w:r w:rsidR="003D6D1C">
        <w:rPr>
          <w:rFonts w:eastAsia="Calibri"/>
        </w:rPr>
        <w:t xml:space="preserve"> some not accessing </w:t>
      </w:r>
      <w:r w:rsidRPr="00742B9A">
        <w:rPr>
          <w:rFonts w:eastAsia="Calibri"/>
        </w:rPr>
        <w:t>treatment</w:t>
      </w:r>
      <w:r w:rsidRPr="00742B9A">
        <w:rPr>
          <w:rStyle w:val="FootnoteReference"/>
          <w:rFonts w:eastAsia="Calibri"/>
          <w:szCs w:val="22"/>
        </w:rPr>
        <w:footnoteReference w:id="23"/>
      </w:r>
      <w:r w:rsidRPr="00742B9A">
        <w:rPr>
          <w:rFonts w:eastAsia="Calibri"/>
        </w:rPr>
        <w:t xml:space="preserve">. </w:t>
      </w:r>
      <w:r>
        <w:rPr>
          <w:rFonts w:eastAsia="Calibri"/>
        </w:rPr>
        <w:t xml:space="preserve">The global figures </w:t>
      </w:r>
      <w:proofErr w:type="gramStart"/>
      <w:r>
        <w:rPr>
          <w:rFonts w:eastAsia="Calibri"/>
        </w:rPr>
        <w:t>are expected</w:t>
      </w:r>
      <w:proofErr w:type="gramEnd"/>
      <w:r>
        <w:rPr>
          <w:rFonts w:eastAsia="Calibri"/>
        </w:rPr>
        <w:t xml:space="preserve"> to continue to rise exponentially as well, with </w:t>
      </w:r>
      <w:r w:rsidR="00293002">
        <w:rPr>
          <w:rFonts w:eastAsia="Calibri"/>
        </w:rPr>
        <w:t xml:space="preserve">some forecasting that </w:t>
      </w:r>
      <w:r>
        <w:rPr>
          <w:rFonts w:eastAsia="Calibri"/>
        </w:rPr>
        <w:t xml:space="preserve">over 4.5 billion people </w:t>
      </w:r>
      <w:r w:rsidR="00293002">
        <w:rPr>
          <w:rFonts w:eastAsia="Calibri"/>
        </w:rPr>
        <w:t xml:space="preserve">are </w:t>
      </w:r>
      <w:r>
        <w:rPr>
          <w:rFonts w:eastAsia="Calibri"/>
        </w:rPr>
        <w:t>expected to be diagnosed with myopia in 2050</w:t>
      </w:r>
      <w:r>
        <w:rPr>
          <w:rStyle w:val="FootnoteReference"/>
          <w:rFonts w:eastAsia="Calibri"/>
          <w:szCs w:val="22"/>
        </w:rPr>
        <w:footnoteReference w:id="24"/>
      </w:r>
      <w:r>
        <w:rPr>
          <w:rFonts w:eastAsia="Calibri"/>
        </w:rPr>
        <w:t xml:space="preserve">. This alarming increase in prevalence will have implications for the planning and delivering of services that are required to manage and prevent potential blinding myopic complications. The Australian eye health and </w:t>
      </w:r>
      <w:r w:rsidRPr="00AD1E20">
        <w:rPr>
          <w:rFonts w:eastAsia="Calibri"/>
        </w:rPr>
        <w:t xml:space="preserve">vision care sector </w:t>
      </w:r>
      <w:proofErr w:type="gramStart"/>
      <w:r w:rsidRPr="00AD1E20">
        <w:rPr>
          <w:rFonts w:eastAsia="Calibri"/>
        </w:rPr>
        <w:t>is positioned</w:t>
      </w:r>
      <w:proofErr w:type="gramEnd"/>
      <w:r w:rsidRPr="00AD1E20">
        <w:rPr>
          <w:rFonts w:eastAsia="Calibri"/>
        </w:rPr>
        <w:t xml:space="preserve"> to help lead efforts in combatting this growing area of need.</w:t>
      </w:r>
    </w:p>
    <w:p w14:paraId="15B60776" w14:textId="77777777" w:rsidR="00DF74A2" w:rsidRDefault="00AD1E20" w:rsidP="00095F2D">
      <w:pPr>
        <w:pStyle w:val="BodyText"/>
        <w:spacing w:before="240"/>
        <w:rPr>
          <w:rFonts w:eastAsia="Calibri"/>
        </w:rPr>
      </w:pPr>
      <w:r w:rsidRPr="00AD1E20">
        <w:rPr>
          <w:rStyle w:val="Heading3Char"/>
          <w:rFonts w:eastAsia="Calibri"/>
        </w:rPr>
        <w:t>Diabetic Retinopathy</w:t>
      </w:r>
      <w:r w:rsidR="00DF74A2" w:rsidRPr="00AD1E20">
        <w:rPr>
          <w:rFonts w:eastAsia="Calibri"/>
        </w:rPr>
        <w:br/>
        <w:t>Non-communicable diseases (NCDs</w:t>
      </w:r>
      <w:r w:rsidR="00DF74A2">
        <w:rPr>
          <w:rFonts w:eastAsia="Calibri"/>
        </w:rPr>
        <w:t>) are a developing crisis in the Indo-Pacific and are now the leading cause of death in Pacific island nations</w:t>
      </w:r>
      <w:r w:rsidR="00DF74A2">
        <w:rPr>
          <w:rStyle w:val="FootnoteReference"/>
          <w:rFonts w:eastAsia="Calibri"/>
          <w:szCs w:val="22"/>
        </w:rPr>
        <w:footnoteReference w:id="25"/>
      </w:r>
      <w:r w:rsidR="00DF74A2">
        <w:rPr>
          <w:rFonts w:eastAsia="Calibri"/>
        </w:rPr>
        <w:t>. The increasing impact of NCDs has a direct correlation with higher levels of preventable blindness and vision impairment and worsening health outcomes. Diabetic retinopathy is on the rise as populations age and lifestyle factors contribute to the increase of the prevalence of NCDs. Australia has extensive experience in delivering health promotion campaigns and initiatives to build local workforce capacity which would have a profound impact on quality of life across the Indo-Pacific.</w:t>
      </w:r>
    </w:p>
    <w:p w14:paraId="0348FFA1" w14:textId="2356ABE3" w:rsidR="00DF74A2" w:rsidRDefault="00DF74A2" w:rsidP="00DF74A2">
      <w:pPr>
        <w:pStyle w:val="BodyText"/>
        <w:rPr>
          <w:rFonts w:eastAsia="Calibri"/>
          <w:szCs w:val="22"/>
        </w:rPr>
      </w:pPr>
      <w:r>
        <w:rPr>
          <w:rFonts w:eastAsia="Calibri"/>
          <w:szCs w:val="22"/>
        </w:rPr>
        <w:t xml:space="preserve">Australia’s continued commitment to combat emerging transmittable diseases </w:t>
      </w:r>
      <w:r w:rsidR="003D6D1C">
        <w:rPr>
          <w:rFonts w:eastAsia="Calibri"/>
          <w:szCs w:val="22"/>
        </w:rPr>
        <w:t xml:space="preserve">should be </w:t>
      </w:r>
      <w:r>
        <w:rPr>
          <w:rFonts w:eastAsia="Calibri"/>
          <w:szCs w:val="22"/>
        </w:rPr>
        <w:t>commended</w:t>
      </w:r>
      <w:r w:rsidR="00BA15D7">
        <w:rPr>
          <w:rFonts w:eastAsia="Calibri"/>
          <w:szCs w:val="22"/>
        </w:rPr>
        <w:t>, h</w:t>
      </w:r>
      <w:r>
        <w:rPr>
          <w:rFonts w:eastAsia="Calibri"/>
          <w:szCs w:val="22"/>
        </w:rPr>
        <w:t xml:space="preserve">owever as NCDs continue to have a debilitating impact on the lives of many in the region, a new focus is required to effectively respond to the emerging </w:t>
      </w:r>
      <w:r w:rsidR="00D46484">
        <w:rPr>
          <w:rFonts w:eastAsia="Calibri"/>
          <w:szCs w:val="22"/>
        </w:rPr>
        <w:t>increased rates</w:t>
      </w:r>
      <w:r>
        <w:rPr>
          <w:rFonts w:eastAsia="Calibri"/>
          <w:szCs w:val="22"/>
        </w:rPr>
        <w:t xml:space="preserve"> of myopia and NCDs. The Australian health sector is </w:t>
      </w:r>
      <w:proofErr w:type="gramStart"/>
      <w:r>
        <w:rPr>
          <w:rFonts w:eastAsia="Calibri"/>
          <w:szCs w:val="22"/>
        </w:rPr>
        <w:t>world renowned</w:t>
      </w:r>
      <w:proofErr w:type="gramEnd"/>
      <w:r>
        <w:rPr>
          <w:rFonts w:eastAsia="Calibri"/>
          <w:szCs w:val="22"/>
        </w:rPr>
        <w:t xml:space="preserve"> and a significant soft power asset that can be utilised to help neighbouring countries respond to the rise of debilitating diseases and conditions.</w:t>
      </w:r>
    </w:p>
    <w:p w14:paraId="22837B16" w14:textId="77777777" w:rsidR="00DF74A2" w:rsidRPr="00E66AFC" w:rsidRDefault="00DF74A2" w:rsidP="00DF74A2">
      <w:pPr>
        <w:pStyle w:val="Heading3"/>
        <w:ind w:left="720"/>
        <w:rPr>
          <w:rFonts w:eastAsia="Calibri"/>
          <w:i/>
        </w:rPr>
      </w:pPr>
      <w:r w:rsidRPr="00E66AFC">
        <w:rPr>
          <w:rFonts w:eastAsia="Calibri"/>
          <w:i/>
        </w:rPr>
        <w:t>Recommendation</w:t>
      </w:r>
    </w:p>
    <w:p w14:paraId="2915CC4B" w14:textId="20B56560" w:rsidR="00DF74A2" w:rsidRPr="00722392" w:rsidRDefault="00DF74A2" w:rsidP="00DF74A2">
      <w:pPr>
        <w:pStyle w:val="BodyText"/>
        <w:ind w:left="720"/>
        <w:rPr>
          <w:rFonts w:eastAsia="Calibri"/>
        </w:rPr>
      </w:pPr>
      <w:r w:rsidRPr="00E66AFC">
        <w:rPr>
          <w:rFonts w:eastAsia="Calibri"/>
        </w:rPr>
        <w:t>The Australian Government expand</w:t>
      </w:r>
      <w:r w:rsidR="00293002">
        <w:rPr>
          <w:rFonts w:eastAsia="Calibri"/>
        </w:rPr>
        <w:t xml:space="preserve"> its</w:t>
      </w:r>
      <w:r w:rsidRPr="00E66AFC">
        <w:rPr>
          <w:rFonts w:eastAsia="Calibri"/>
        </w:rPr>
        <w:t xml:space="preserve"> focus to respond to the emerging health trends of </w:t>
      </w:r>
      <w:r w:rsidR="00326314">
        <w:rPr>
          <w:rFonts w:eastAsia="Calibri"/>
        </w:rPr>
        <w:t>m</w:t>
      </w:r>
      <w:r w:rsidRPr="00E66AFC">
        <w:rPr>
          <w:rFonts w:eastAsia="Calibri"/>
        </w:rPr>
        <w:t>yopia and non-communicable diseases in the Indo-Pacific to effectively utilise the significant soft power asset of the Australian health sector.</w:t>
      </w:r>
    </w:p>
    <w:p w14:paraId="29D2ABEF" w14:textId="77777777" w:rsidR="00DF74A2" w:rsidRDefault="00DF74A2" w:rsidP="00DF74A2">
      <w:pPr>
        <w:pStyle w:val="Heading2"/>
      </w:pPr>
      <w:bookmarkStart w:id="9" w:name="_Toc527025402"/>
      <w:r w:rsidRPr="00E66AFC">
        <w:t>Conclusion</w:t>
      </w:r>
      <w:bookmarkEnd w:id="9"/>
    </w:p>
    <w:p w14:paraId="121ACAB7" w14:textId="77777777" w:rsidR="004B6A7F" w:rsidRDefault="0027779A" w:rsidP="006A3923">
      <w:pPr>
        <w:pStyle w:val="BodyText"/>
      </w:pPr>
      <w:r>
        <w:t xml:space="preserve">The delivery of inclusive eye health programming into the Indo-Pacific is a significant soft power asset that </w:t>
      </w:r>
      <w:r w:rsidR="00D674DC">
        <w:t xml:space="preserve">provides regional leadership and extends Australia’s influence. The eye health and vision care sector has built extensive interpersonal linkages throughout the region, which has furthered Australia’s reputation as a leader and a trusted partner in the Indo-Pacific. </w:t>
      </w:r>
    </w:p>
    <w:p w14:paraId="236F2FD2" w14:textId="0B804ABD" w:rsidR="009F145B" w:rsidRDefault="00D674DC" w:rsidP="006A3923">
      <w:pPr>
        <w:pStyle w:val="BodyText"/>
      </w:pPr>
      <w:r>
        <w:t xml:space="preserve">Through collaborative partnerships between the Australian Government and the eye health and vision care sector, significant gains </w:t>
      </w:r>
      <w:proofErr w:type="gramStart"/>
      <w:r>
        <w:t>have been made</w:t>
      </w:r>
      <w:proofErr w:type="gramEnd"/>
      <w:r>
        <w:t xml:space="preserve"> in improving eye health outcomes in the region. However, as populations continue to age and the incidences of </w:t>
      </w:r>
      <w:r w:rsidR="003D6D1C">
        <w:t>m</w:t>
      </w:r>
      <w:r>
        <w:t xml:space="preserve">yopia and non-communicable diseases continue to rise these gains are at risk of being lost unless further action </w:t>
      </w:r>
      <w:proofErr w:type="gramStart"/>
      <w:r>
        <w:t>is taken</w:t>
      </w:r>
      <w:proofErr w:type="gramEnd"/>
      <w:r>
        <w:t>. Australia has the opportunity</w:t>
      </w:r>
      <w:r w:rsidR="00293002">
        <w:t>,</w:t>
      </w:r>
      <w:r>
        <w:t xml:space="preserve"> through</w:t>
      </w:r>
      <w:r w:rsidR="00293002">
        <w:t xml:space="preserve"> funding </w:t>
      </w:r>
      <w:proofErr w:type="gramStart"/>
      <w:r>
        <w:t>capacity building</w:t>
      </w:r>
      <w:proofErr w:type="gramEnd"/>
      <w:r>
        <w:t xml:space="preserve"> initiatives, technological advancements and regional </w:t>
      </w:r>
      <w:r w:rsidR="00095F2D">
        <w:t>leadership,</w:t>
      </w:r>
      <w:r w:rsidR="00293002">
        <w:t xml:space="preserve"> </w:t>
      </w:r>
      <w:r>
        <w:t>to prevent this backsliding from occurring</w:t>
      </w:r>
      <w:r w:rsidR="00EF521C">
        <w:t xml:space="preserve">, by leveraging our eye health expertise and capability as a </w:t>
      </w:r>
      <w:r>
        <w:t>soft power asset in the region</w:t>
      </w:r>
      <w:r w:rsidR="004B6A7F">
        <w:t xml:space="preserve"> and across the globe</w:t>
      </w:r>
      <w:r>
        <w:t>.</w:t>
      </w:r>
    </w:p>
    <w:p w14:paraId="7B8A5EC2" w14:textId="77777777" w:rsidR="009F145B" w:rsidRDefault="009F145B" w:rsidP="00E82070">
      <w:pPr>
        <w:pStyle w:val="Heading2"/>
        <w:pageBreakBefore/>
      </w:pPr>
      <w:bookmarkStart w:id="10" w:name="_Toc527025403"/>
      <w:r>
        <w:t>References</w:t>
      </w:r>
      <w:bookmarkEnd w:id="10"/>
    </w:p>
    <w:p w14:paraId="47B143D4" w14:textId="06DBD372" w:rsidR="008A1E5D" w:rsidRPr="008A1E5D" w:rsidRDefault="008A1E5D" w:rsidP="008A1E5D">
      <w:pPr>
        <w:pStyle w:val="ListNumber0"/>
        <w:numPr>
          <w:ilvl w:val="0"/>
          <w:numId w:val="0"/>
        </w:numPr>
      </w:pPr>
      <w:r w:rsidRPr="00894D91">
        <w:rPr>
          <w:szCs w:val="18"/>
        </w:rPr>
        <w:t xml:space="preserve">Bell, V, </w:t>
      </w:r>
      <w:r w:rsidRPr="00894D91">
        <w:rPr>
          <w:i/>
          <w:szCs w:val="18"/>
        </w:rPr>
        <w:t>Global Consortium East Asia Vision Program: Eye Health Workforce Development and Training Evaluative Review</w:t>
      </w:r>
      <w:r w:rsidRPr="00894D91">
        <w:rPr>
          <w:szCs w:val="18"/>
        </w:rPr>
        <w:t xml:space="preserve"> 2016, </w:t>
      </w:r>
      <w:hyperlink r:id="rId11" w:history="1">
        <w:r w:rsidRPr="00894D91">
          <w:rPr>
            <w:rStyle w:val="Hyperlink"/>
            <w:color w:val="004B8D" w:themeColor="accent1"/>
            <w:szCs w:val="18"/>
          </w:rPr>
          <w:t>http://www.vision2020australia.org.au/uploads/resource/242/EAVP-Combined-Completion-and-Year-Three-Annual-Report_submission_Report-and-annexes_Final_for-website.pdf</w:t>
        </w:r>
      </w:hyperlink>
      <w:r w:rsidRPr="00894D91">
        <w:rPr>
          <w:szCs w:val="18"/>
        </w:rPr>
        <w:t>.</w:t>
      </w:r>
    </w:p>
    <w:p w14:paraId="58580372" w14:textId="6253E627" w:rsidR="008A1E5D" w:rsidRDefault="008A1E5D" w:rsidP="008A1E5D">
      <w:pPr>
        <w:pStyle w:val="ListNumber0"/>
        <w:numPr>
          <w:ilvl w:val="0"/>
          <w:numId w:val="0"/>
        </w:numPr>
        <w:rPr>
          <w:rFonts w:ascii="Trebuchet MS" w:hAnsi="Trebuchet MS" w:cs="Trebuchet MS"/>
          <w:color w:val="000000"/>
          <w:szCs w:val="20"/>
        </w:rPr>
      </w:pPr>
      <w:r w:rsidRPr="009F145B">
        <w:rPr>
          <w:rFonts w:ascii="Trebuchet MS" w:hAnsi="Trebuchet MS" w:cs="Trebuchet MS"/>
          <w:color w:val="000000"/>
          <w:szCs w:val="20"/>
        </w:rPr>
        <w:t xml:space="preserve">Bourne, R, Flaxman, S, Braithwaite, T et al. </w:t>
      </w:r>
      <w:r w:rsidRPr="009F145B">
        <w:rPr>
          <w:rFonts w:ascii="Trebuchet MS" w:hAnsi="Trebuchet MS" w:cs="Trebuchet MS"/>
          <w:i/>
          <w:iCs/>
          <w:color w:val="000000"/>
          <w:szCs w:val="20"/>
        </w:rPr>
        <w:t>Magnitude, Temporal Trends, and Projections of the Global Prevalence of Blindness and Distance and Near Vision Impairment: A Systematic Review and Meta-Analysis</w:t>
      </w:r>
      <w:r w:rsidRPr="009F145B">
        <w:rPr>
          <w:rFonts w:ascii="Trebuchet MS" w:hAnsi="Trebuchet MS" w:cs="Trebuchet MS"/>
          <w:color w:val="000000"/>
          <w:szCs w:val="20"/>
        </w:rPr>
        <w:t xml:space="preserve">, The Lancet Global Health 2017, 5(9): 888-897, </w:t>
      </w:r>
      <w:hyperlink r:id="rId12" w:history="1">
        <w:r w:rsidRPr="009F145B">
          <w:rPr>
            <w:rFonts w:ascii="Trebuchet MS" w:hAnsi="Trebuchet MS" w:cs="Trebuchet MS"/>
            <w:color w:val="004B8D" w:themeColor="accent1"/>
            <w:szCs w:val="20"/>
            <w:u w:val="single"/>
          </w:rPr>
          <w:t>https://www.thelancet.com/journals/langlo/article/PIIS2214-109X(17)30293-0/fulltext</w:t>
        </w:r>
      </w:hyperlink>
      <w:r w:rsidRPr="009F145B">
        <w:rPr>
          <w:rFonts w:ascii="Trebuchet MS" w:hAnsi="Trebuchet MS" w:cs="Trebuchet MS"/>
          <w:color w:val="000000"/>
          <w:szCs w:val="20"/>
        </w:rPr>
        <w:t>.</w:t>
      </w:r>
    </w:p>
    <w:p w14:paraId="6B28D72D" w14:textId="387EC4C0" w:rsidR="008A1E5D" w:rsidRPr="008A1E5D" w:rsidRDefault="008A1E5D" w:rsidP="008A1E5D">
      <w:pPr>
        <w:pStyle w:val="ListNumber0"/>
        <w:numPr>
          <w:ilvl w:val="0"/>
          <w:numId w:val="0"/>
        </w:numPr>
      </w:pPr>
      <w:r>
        <w:t xml:space="preserve">Centre for Eye Research Australia, </w:t>
      </w:r>
      <w:r w:rsidRPr="009F145B">
        <w:rPr>
          <w:i/>
        </w:rPr>
        <w:t>Artificial-Intelligence Based Eye Screening to Prevent Blindness in Remote Low-Resource Settings</w:t>
      </w:r>
      <w:r>
        <w:t xml:space="preserve"> 2017, </w:t>
      </w:r>
      <w:hyperlink r:id="rId13" w:history="1">
        <w:r w:rsidRPr="009F145B">
          <w:rPr>
            <w:rStyle w:val="Hyperlink"/>
            <w:color w:val="004B8D" w:themeColor="accent1"/>
          </w:rPr>
          <w:t>https://vimeo.com/213961450/f9e15f08ae</w:t>
        </w:r>
      </w:hyperlink>
      <w:r>
        <w:t>.</w:t>
      </w:r>
    </w:p>
    <w:p w14:paraId="06621FA8" w14:textId="0AB47BAE" w:rsidR="009F145B" w:rsidRDefault="009F145B" w:rsidP="008A1E5D">
      <w:pPr>
        <w:pStyle w:val="ListNumber0"/>
        <w:numPr>
          <w:ilvl w:val="0"/>
          <w:numId w:val="0"/>
        </w:numPr>
      </w:pPr>
      <w:r>
        <w:t xml:space="preserve">Department of Foreign Affairs and Trade, </w:t>
      </w:r>
      <w:r>
        <w:rPr>
          <w:i/>
        </w:rPr>
        <w:t xml:space="preserve">Foreign Policy White Paper </w:t>
      </w:r>
      <w:r>
        <w:t xml:space="preserve">2017, </w:t>
      </w:r>
      <w:hyperlink r:id="rId14" w:history="1">
        <w:r w:rsidRPr="008D2541">
          <w:rPr>
            <w:rStyle w:val="Hyperlink"/>
            <w:color w:val="004B8D" w:themeColor="accent1"/>
          </w:rPr>
          <w:t>https://www.fpwhitepaper.gov.au/</w:t>
        </w:r>
      </w:hyperlink>
      <w:r>
        <w:t>.</w:t>
      </w:r>
    </w:p>
    <w:p w14:paraId="48F97F5A" w14:textId="72D8FF7E" w:rsidR="008A1E5D" w:rsidRDefault="008A1E5D" w:rsidP="008A1E5D">
      <w:pPr>
        <w:pStyle w:val="ListNumber0"/>
        <w:numPr>
          <w:ilvl w:val="0"/>
          <w:numId w:val="0"/>
        </w:numPr>
      </w:pPr>
      <w:r>
        <w:t xml:space="preserve">Department of Health, </w:t>
      </w:r>
      <w:r>
        <w:rPr>
          <w:i/>
        </w:rPr>
        <w:t xml:space="preserve">Telehealth </w:t>
      </w:r>
      <w:r>
        <w:t xml:space="preserve">2015, </w:t>
      </w:r>
      <w:hyperlink r:id="rId15" w:history="1">
        <w:r w:rsidRPr="008A3A24">
          <w:rPr>
            <w:rStyle w:val="Hyperlink"/>
            <w:color w:val="004B8D" w:themeColor="accent1"/>
          </w:rPr>
          <w:t>http://www.health.gov.au/internet/main/publishing.nsf/content/e-health-telehealth</w:t>
        </w:r>
      </w:hyperlink>
      <w:r>
        <w:t>.</w:t>
      </w:r>
    </w:p>
    <w:p w14:paraId="09CE8820" w14:textId="553C0068" w:rsidR="008A1E5D" w:rsidRDefault="008A1E5D" w:rsidP="008A1E5D">
      <w:pPr>
        <w:pStyle w:val="ListNumber0"/>
        <w:numPr>
          <w:ilvl w:val="0"/>
          <w:numId w:val="0"/>
        </w:numPr>
        <w:rPr>
          <w:rFonts w:ascii="Trebuchet MS" w:hAnsi="Trebuchet MS" w:cs="Trebuchet MS"/>
          <w:color w:val="000000"/>
          <w:szCs w:val="20"/>
        </w:rPr>
      </w:pPr>
      <w:r w:rsidRPr="009F145B">
        <w:rPr>
          <w:rFonts w:ascii="Trebuchet MS" w:hAnsi="Trebuchet MS" w:cs="Trebuchet MS"/>
          <w:color w:val="000000"/>
          <w:szCs w:val="20"/>
        </w:rPr>
        <w:t xml:space="preserve">Flaxman, S, Bourne, R, </w:t>
      </w:r>
      <w:proofErr w:type="spellStart"/>
      <w:r w:rsidRPr="009F145B">
        <w:rPr>
          <w:rFonts w:ascii="Trebuchet MS" w:hAnsi="Trebuchet MS" w:cs="Trebuchet MS"/>
          <w:color w:val="000000"/>
          <w:szCs w:val="20"/>
        </w:rPr>
        <w:t>Resinkoff</w:t>
      </w:r>
      <w:proofErr w:type="spellEnd"/>
      <w:r w:rsidRPr="009F145B">
        <w:rPr>
          <w:rFonts w:ascii="Trebuchet MS" w:hAnsi="Trebuchet MS" w:cs="Trebuchet MS"/>
          <w:color w:val="000000"/>
          <w:szCs w:val="20"/>
        </w:rPr>
        <w:t xml:space="preserve">, S et al. </w:t>
      </w:r>
      <w:r w:rsidRPr="009F145B">
        <w:rPr>
          <w:rFonts w:ascii="Trebuchet MS" w:hAnsi="Trebuchet MS" w:cs="Trebuchet MS"/>
          <w:i/>
          <w:iCs/>
          <w:color w:val="000000"/>
          <w:szCs w:val="20"/>
        </w:rPr>
        <w:t>Global Causes of Blindness and Distance Vision Impairment 1990-2020: A Systematic Review and Meta-Analysis</w:t>
      </w:r>
      <w:r w:rsidRPr="009F145B">
        <w:rPr>
          <w:rFonts w:ascii="Trebuchet MS" w:hAnsi="Trebuchet MS" w:cs="Trebuchet MS"/>
          <w:color w:val="000000"/>
          <w:szCs w:val="20"/>
        </w:rPr>
        <w:t xml:space="preserve">, The Lancet Global Health 2017, 5(12): 1221-1234, </w:t>
      </w:r>
      <w:hyperlink r:id="rId16" w:history="1">
        <w:r w:rsidRPr="009F145B">
          <w:rPr>
            <w:rStyle w:val="Hyperlink"/>
            <w:rFonts w:ascii="Trebuchet MS" w:hAnsi="Trebuchet MS" w:cs="Trebuchet MS"/>
            <w:color w:val="004B8D" w:themeColor="accent1"/>
            <w:szCs w:val="20"/>
          </w:rPr>
          <w:t>https://www.thelancet.com/journals/langlo/article/PIIS2214-109X(17)30393-5/fulltext</w:t>
        </w:r>
      </w:hyperlink>
      <w:r w:rsidRPr="009F145B">
        <w:rPr>
          <w:rFonts w:ascii="Trebuchet MS" w:hAnsi="Trebuchet MS" w:cs="Trebuchet MS"/>
          <w:color w:val="000000"/>
          <w:szCs w:val="20"/>
        </w:rPr>
        <w:t>.</w:t>
      </w:r>
    </w:p>
    <w:p w14:paraId="79E889FE" w14:textId="56239334" w:rsidR="008A1E5D" w:rsidRPr="008A1E5D" w:rsidRDefault="008A1E5D" w:rsidP="008A1E5D">
      <w:pPr>
        <w:pStyle w:val="ListNumber0"/>
        <w:numPr>
          <w:ilvl w:val="0"/>
          <w:numId w:val="0"/>
        </w:numPr>
        <w:rPr>
          <w:sz w:val="24"/>
        </w:rPr>
      </w:pPr>
      <w:proofErr w:type="spellStart"/>
      <w:r w:rsidRPr="00C34E5E">
        <w:rPr>
          <w:szCs w:val="18"/>
        </w:rPr>
        <w:t>Guo</w:t>
      </w:r>
      <w:proofErr w:type="spellEnd"/>
      <w:r w:rsidRPr="00C34E5E">
        <w:rPr>
          <w:szCs w:val="18"/>
        </w:rPr>
        <w:t xml:space="preserve">, L, Yang, J, Mai, J, </w:t>
      </w:r>
      <w:proofErr w:type="spellStart"/>
      <w:r w:rsidRPr="00C34E5E">
        <w:rPr>
          <w:szCs w:val="18"/>
        </w:rPr>
        <w:t>Guo</w:t>
      </w:r>
      <w:proofErr w:type="spellEnd"/>
      <w:r w:rsidRPr="00C34E5E">
        <w:rPr>
          <w:szCs w:val="18"/>
        </w:rPr>
        <w:t xml:space="preserve">, Y, Li, P, Yue, Y, Tang, D, Lu, C and Zhang, W-H, </w:t>
      </w:r>
      <w:r w:rsidRPr="00C34E5E">
        <w:rPr>
          <w:i/>
          <w:szCs w:val="18"/>
        </w:rPr>
        <w:t xml:space="preserve">Prevalence and Associated Factors of Myopia Among Primary and Middle School-Aged Students: A School-Based Study in Guangzhou, </w:t>
      </w:r>
      <w:r w:rsidRPr="00C34E5E">
        <w:rPr>
          <w:szCs w:val="18"/>
        </w:rPr>
        <w:t xml:space="preserve">The Scientific Journal of The Royal College of Ophthalmology 2016, 30(6): 796-804, </w:t>
      </w:r>
      <w:hyperlink r:id="rId17" w:history="1">
        <w:r w:rsidRPr="00C34E5E">
          <w:rPr>
            <w:rStyle w:val="Hyperlink"/>
            <w:color w:val="004B8D" w:themeColor="accent1"/>
            <w:szCs w:val="18"/>
          </w:rPr>
          <w:t>https://www.ncbi.nlm.nih.gov/pmc/articles/PMC4906452/</w:t>
        </w:r>
      </w:hyperlink>
      <w:r w:rsidRPr="00C34E5E">
        <w:rPr>
          <w:szCs w:val="18"/>
          <w:lang w:val="en-US"/>
        </w:rPr>
        <w:t>.</w:t>
      </w:r>
    </w:p>
    <w:p w14:paraId="0B61F38A" w14:textId="0A057E39" w:rsidR="008A1E5D" w:rsidRDefault="008A1E5D" w:rsidP="008A1E5D">
      <w:pPr>
        <w:pStyle w:val="ListNumber0"/>
        <w:numPr>
          <w:ilvl w:val="0"/>
          <w:numId w:val="0"/>
        </w:numPr>
        <w:rPr>
          <w:szCs w:val="18"/>
        </w:rPr>
      </w:pPr>
      <w:proofErr w:type="spellStart"/>
      <w:r w:rsidRPr="009F145B">
        <w:rPr>
          <w:szCs w:val="18"/>
        </w:rPr>
        <w:t>Hannum</w:t>
      </w:r>
      <w:proofErr w:type="spellEnd"/>
      <w:r w:rsidRPr="009F145B">
        <w:rPr>
          <w:szCs w:val="18"/>
        </w:rPr>
        <w:t xml:space="preserve">, E and Zhang, Y, </w:t>
      </w:r>
      <w:r w:rsidRPr="009F145B">
        <w:rPr>
          <w:i/>
          <w:szCs w:val="18"/>
        </w:rPr>
        <w:t xml:space="preserve">Poverty and Proximate Barriers to Learning: Vision Deficiencies, Vision Correction and Educational Outcomes in Rural Northwest China, </w:t>
      </w:r>
      <w:r w:rsidRPr="009F145B">
        <w:rPr>
          <w:szCs w:val="18"/>
        </w:rPr>
        <w:t>World Development</w:t>
      </w:r>
      <w:r w:rsidRPr="009F145B">
        <w:rPr>
          <w:i/>
          <w:szCs w:val="18"/>
        </w:rPr>
        <w:t xml:space="preserve"> </w:t>
      </w:r>
      <w:r w:rsidRPr="009F145B">
        <w:rPr>
          <w:szCs w:val="18"/>
        </w:rPr>
        <w:t xml:space="preserve">2012, 40(9): 1921-1931, </w:t>
      </w:r>
      <w:hyperlink r:id="rId18" w:history="1">
        <w:r w:rsidRPr="009F145B">
          <w:rPr>
            <w:rStyle w:val="Hyperlink"/>
            <w:color w:val="004B8D" w:themeColor="accent1"/>
            <w:szCs w:val="18"/>
          </w:rPr>
          <w:t>https://www.ncbi.nlm.nih.gov/pmc/articles/PMC4655323/</w:t>
        </w:r>
      </w:hyperlink>
      <w:r w:rsidRPr="009F145B">
        <w:rPr>
          <w:szCs w:val="18"/>
        </w:rPr>
        <w:t>.</w:t>
      </w:r>
    </w:p>
    <w:p w14:paraId="0FC80828" w14:textId="1AAF671C" w:rsidR="008A1E5D" w:rsidRPr="008A1E5D" w:rsidRDefault="008A1E5D" w:rsidP="008A1E5D">
      <w:pPr>
        <w:pStyle w:val="ListNumber0"/>
        <w:numPr>
          <w:ilvl w:val="0"/>
          <w:numId w:val="0"/>
        </w:numPr>
        <w:rPr>
          <w:sz w:val="24"/>
        </w:rPr>
      </w:pPr>
      <w:r>
        <w:t xml:space="preserve">Holden, B, Fricke, T, Wilson, D, Jong, M, Naidoo, K, </w:t>
      </w:r>
      <w:proofErr w:type="spellStart"/>
      <w:r>
        <w:t>Sankaridung</w:t>
      </w:r>
      <w:proofErr w:type="spellEnd"/>
      <w:r>
        <w:t xml:space="preserve">, P, Wong, T, </w:t>
      </w:r>
      <w:proofErr w:type="spellStart"/>
      <w:r>
        <w:t>Naduvilath</w:t>
      </w:r>
      <w:proofErr w:type="spellEnd"/>
      <w:r>
        <w:t xml:space="preserve">, T, </w:t>
      </w:r>
      <w:proofErr w:type="spellStart"/>
      <w:r>
        <w:t>Resnikoff</w:t>
      </w:r>
      <w:proofErr w:type="spellEnd"/>
      <w:r>
        <w:t xml:space="preserve">, S, </w:t>
      </w:r>
      <w:r>
        <w:rPr>
          <w:i/>
        </w:rPr>
        <w:t xml:space="preserve">Global Prevalence of Myopia and High Myopia and Temporal Trends from 2000 through 2050, </w:t>
      </w:r>
      <w:r>
        <w:t>American Academy of Ophthalmology</w:t>
      </w:r>
      <w:r>
        <w:rPr>
          <w:i/>
        </w:rPr>
        <w:t xml:space="preserve"> </w:t>
      </w:r>
      <w:r>
        <w:t xml:space="preserve">2016, 123(5): 1036-1042, </w:t>
      </w:r>
      <w:hyperlink r:id="rId19" w:history="1">
        <w:r w:rsidRPr="00E05C2E">
          <w:rPr>
            <w:rStyle w:val="Hyperlink"/>
            <w:color w:val="004B8D" w:themeColor="accent1"/>
          </w:rPr>
          <w:t>https://www.ncbi.nlm.nih.gov/pubmed/26875007</w:t>
        </w:r>
      </w:hyperlink>
      <w:r>
        <w:t>.</w:t>
      </w:r>
    </w:p>
    <w:p w14:paraId="2CC23BE2" w14:textId="77777777" w:rsidR="009F145B" w:rsidRPr="009F145B" w:rsidRDefault="009F145B" w:rsidP="008A1E5D">
      <w:pPr>
        <w:pStyle w:val="ListNumber0"/>
        <w:numPr>
          <w:ilvl w:val="0"/>
          <w:numId w:val="0"/>
        </w:numPr>
        <w:rPr>
          <w:sz w:val="28"/>
        </w:rPr>
      </w:pPr>
      <w:r w:rsidRPr="009F145B">
        <w:rPr>
          <w:rFonts w:ascii="Trebuchet MS" w:hAnsi="Trebuchet MS" w:cs="Trebuchet MS"/>
          <w:color w:val="000000"/>
          <w:szCs w:val="20"/>
        </w:rPr>
        <w:t xml:space="preserve">International Agency for the Prevention of Blindness, </w:t>
      </w:r>
      <w:r w:rsidRPr="009F145B">
        <w:rPr>
          <w:rFonts w:ascii="Trebuchet MS" w:hAnsi="Trebuchet MS" w:cs="Trebuchet MS"/>
          <w:i/>
          <w:iCs/>
          <w:color w:val="000000"/>
          <w:szCs w:val="20"/>
        </w:rPr>
        <w:t xml:space="preserve">IAPB Vision Atlas: Regional Estimates of Distance-Vision Loss </w:t>
      </w:r>
      <w:r w:rsidRPr="009F145B">
        <w:rPr>
          <w:rFonts w:ascii="Trebuchet MS" w:hAnsi="Trebuchet MS" w:cs="Trebuchet MS"/>
          <w:color w:val="000000"/>
          <w:szCs w:val="20"/>
        </w:rPr>
        <w:t>2017,</w:t>
      </w:r>
      <w:r w:rsidRPr="009F145B">
        <w:rPr>
          <w:rFonts w:ascii="Trebuchet MS" w:hAnsi="Trebuchet MS" w:cs="Trebuchet MS"/>
          <w:color w:val="004B8D" w:themeColor="accent1"/>
          <w:szCs w:val="20"/>
        </w:rPr>
        <w:t xml:space="preserve"> </w:t>
      </w:r>
      <w:hyperlink r:id="rId20" w:history="1">
        <w:r w:rsidRPr="009F145B">
          <w:rPr>
            <w:rStyle w:val="Hyperlink"/>
            <w:rFonts w:ascii="Trebuchet MS" w:hAnsi="Trebuchet MS" w:cs="Trebuchet MS"/>
            <w:color w:val="004B8D" w:themeColor="accent1"/>
            <w:szCs w:val="20"/>
          </w:rPr>
          <w:t>http://atlas.iapb.org/global-burden-vision-impairment/gbvi-regional-estimates-of-distance-vision-loss/</w:t>
        </w:r>
      </w:hyperlink>
      <w:r w:rsidRPr="009F145B">
        <w:rPr>
          <w:rFonts w:ascii="Trebuchet MS" w:hAnsi="Trebuchet MS" w:cs="Trebuchet MS"/>
          <w:color w:val="000000"/>
          <w:szCs w:val="20"/>
        </w:rPr>
        <w:t xml:space="preserve">. </w:t>
      </w:r>
    </w:p>
    <w:p w14:paraId="32800D2B" w14:textId="46422B72" w:rsidR="009F145B" w:rsidRDefault="009F145B" w:rsidP="008A1E5D">
      <w:pPr>
        <w:pStyle w:val="ListNumber0"/>
        <w:numPr>
          <w:ilvl w:val="0"/>
          <w:numId w:val="0"/>
        </w:numPr>
        <w:rPr>
          <w:rStyle w:val="Hyperlink"/>
        </w:rPr>
      </w:pPr>
      <w:r>
        <w:t xml:space="preserve">International Agency for the Prevention of Blindness, </w:t>
      </w:r>
      <w:r>
        <w:rPr>
          <w:i/>
        </w:rPr>
        <w:t xml:space="preserve">The Australian Governments Avoidable Blindness Initiative </w:t>
      </w:r>
      <w:r>
        <w:t xml:space="preserve">2014, </w:t>
      </w:r>
      <w:hyperlink r:id="rId21" w:history="1">
        <w:r w:rsidRPr="00720575">
          <w:rPr>
            <w:rStyle w:val="Hyperlink"/>
            <w:color w:val="004B8D" w:themeColor="accent1"/>
          </w:rPr>
          <w:t>https://www.iapb.org/wp-content/uploads/The-Australian-Governments-Avoidable-Blindness-Initiative_Vision-2020-Australia.pdf</w:t>
        </w:r>
      </w:hyperlink>
      <w:r>
        <w:rPr>
          <w:rStyle w:val="Hyperlink"/>
        </w:rPr>
        <w:t>.</w:t>
      </w:r>
    </w:p>
    <w:p w14:paraId="73897D8B" w14:textId="0F0FC31E" w:rsidR="008A1E5D" w:rsidRDefault="008A1E5D" w:rsidP="008A1E5D">
      <w:pPr>
        <w:pStyle w:val="ListNumber0"/>
        <w:numPr>
          <w:ilvl w:val="0"/>
          <w:numId w:val="0"/>
        </w:numPr>
      </w:pPr>
      <w:r>
        <w:t xml:space="preserve">Lowy Institute, </w:t>
      </w:r>
      <w:r>
        <w:rPr>
          <w:i/>
        </w:rPr>
        <w:t>Lowy Institute Pacific Aid Map</w:t>
      </w:r>
      <w:r>
        <w:t xml:space="preserve"> 2018, </w:t>
      </w:r>
      <w:hyperlink r:id="rId22" w:history="1">
        <w:r w:rsidRPr="00130A64">
          <w:rPr>
            <w:rStyle w:val="Hyperlink"/>
            <w:color w:val="004B8D" w:themeColor="accent1"/>
          </w:rPr>
          <w:t>https://pacificaidmap.lowyinstitute.org/</w:t>
        </w:r>
      </w:hyperlink>
      <w:r>
        <w:t>.</w:t>
      </w:r>
    </w:p>
    <w:p w14:paraId="6ABCFF8E" w14:textId="61F51B1A" w:rsidR="008A1E5D" w:rsidRPr="008A1E5D" w:rsidRDefault="008A1E5D" w:rsidP="008A1E5D">
      <w:pPr>
        <w:pStyle w:val="ListNumber0"/>
        <w:numPr>
          <w:ilvl w:val="0"/>
          <w:numId w:val="0"/>
        </w:numPr>
        <w:rPr>
          <w:rStyle w:val="Hyperlink"/>
          <w:color w:val="auto"/>
          <w:u w:val="none"/>
        </w:rPr>
      </w:pPr>
      <w:proofErr w:type="spellStart"/>
      <w:r>
        <w:t>Prathiba</w:t>
      </w:r>
      <w:proofErr w:type="spellEnd"/>
      <w:r>
        <w:t xml:space="preserve">, V and </w:t>
      </w:r>
      <w:proofErr w:type="spellStart"/>
      <w:r>
        <w:t>Rema</w:t>
      </w:r>
      <w:proofErr w:type="spellEnd"/>
      <w:r>
        <w:t xml:space="preserve">, M, </w:t>
      </w:r>
      <w:r w:rsidRPr="009F145B">
        <w:rPr>
          <w:i/>
        </w:rPr>
        <w:t xml:space="preserve">Teleophthalmology: A Model for Eye Care Delivery in Rural and Underserved Areas of India, </w:t>
      </w:r>
      <w:r>
        <w:t xml:space="preserve">International Journal of Family Medicine 2011, </w:t>
      </w:r>
      <w:hyperlink r:id="rId23" w:history="1">
        <w:r w:rsidRPr="009F145B">
          <w:rPr>
            <w:rStyle w:val="Hyperlink"/>
            <w:color w:val="004B8D" w:themeColor="accent1"/>
          </w:rPr>
          <w:t>https://www.hindawi.com/journals/ijfm/2011/683267/</w:t>
        </w:r>
      </w:hyperlink>
      <w:r>
        <w:t>.</w:t>
      </w:r>
    </w:p>
    <w:p w14:paraId="2D63C2B6" w14:textId="77777777" w:rsidR="009F145B" w:rsidRPr="009F145B" w:rsidRDefault="009F145B" w:rsidP="008A1E5D">
      <w:pPr>
        <w:pStyle w:val="ListNumber0"/>
        <w:numPr>
          <w:ilvl w:val="0"/>
          <w:numId w:val="0"/>
        </w:numPr>
      </w:pPr>
      <w:proofErr w:type="spellStart"/>
      <w:r w:rsidRPr="00CC7EEA">
        <w:rPr>
          <w:szCs w:val="18"/>
        </w:rPr>
        <w:t>PricewaterhouseCooper</w:t>
      </w:r>
      <w:proofErr w:type="spellEnd"/>
      <w:r w:rsidRPr="00CC7EEA">
        <w:rPr>
          <w:szCs w:val="18"/>
        </w:rPr>
        <w:t xml:space="preserve">, </w:t>
      </w:r>
      <w:r w:rsidRPr="00CC7EEA">
        <w:rPr>
          <w:i/>
          <w:szCs w:val="18"/>
        </w:rPr>
        <w:t>Investing in Vision: The Costs and Benefits of Ending Avoidable Blindness</w:t>
      </w:r>
      <w:r>
        <w:rPr>
          <w:szCs w:val="18"/>
        </w:rPr>
        <w:t xml:space="preserve"> 2014, </w:t>
      </w:r>
      <w:hyperlink r:id="rId24" w:history="1">
        <w:r w:rsidRPr="00CC7EEA">
          <w:rPr>
            <w:rStyle w:val="Hyperlink"/>
            <w:color w:val="004B8D" w:themeColor="accent1"/>
            <w:szCs w:val="18"/>
          </w:rPr>
          <w:t>https://www.hollows.org/getattachment/au/What-We-Do/Ending-Avoidable-blindness/Research/PwC-Investing-in-Vision.pdf.aspx</w:t>
        </w:r>
      </w:hyperlink>
      <w:r w:rsidRPr="00CC7EEA">
        <w:rPr>
          <w:szCs w:val="18"/>
        </w:rPr>
        <w:t>.</w:t>
      </w:r>
    </w:p>
    <w:p w14:paraId="7ADCDE09" w14:textId="49B62768" w:rsidR="008A1E5D" w:rsidRDefault="008A1E5D" w:rsidP="008A1E5D">
      <w:pPr>
        <w:pStyle w:val="ListNumber0"/>
        <w:numPr>
          <w:ilvl w:val="0"/>
          <w:numId w:val="0"/>
        </w:numPr>
      </w:pPr>
      <w:r w:rsidRPr="009F145B">
        <w:t xml:space="preserve">Sreelatha, O and Ramesh, S, </w:t>
      </w:r>
      <w:r w:rsidRPr="00AA462D">
        <w:rPr>
          <w:i/>
        </w:rPr>
        <w:t>Teleophthalmology: Improving Patient Outcomes</w:t>
      </w:r>
      <w:proofErr w:type="gramStart"/>
      <w:r w:rsidRPr="00AA462D">
        <w:rPr>
          <w:i/>
        </w:rPr>
        <w:t>?</w:t>
      </w:r>
      <w:r w:rsidRPr="009F145B">
        <w:t>,</w:t>
      </w:r>
      <w:proofErr w:type="gramEnd"/>
      <w:r w:rsidRPr="009F145B">
        <w:t xml:space="preserve"> Clinical Ophthalmology 2016, 10: 285-295, </w:t>
      </w:r>
      <w:hyperlink r:id="rId25" w:history="1">
        <w:r w:rsidRPr="009F145B">
          <w:rPr>
            <w:rStyle w:val="Hyperlink"/>
            <w:color w:val="32619D" w:themeColor="accent3"/>
          </w:rPr>
          <w:t>https://www.ncbi.nlm.nih.gov/pmc/articles/PMC4755429/</w:t>
        </w:r>
      </w:hyperlink>
      <w:r w:rsidRPr="009F145B">
        <w:t>.</w:t>
      </w:r>
    </w:p>
    <w:p w14:paraId="458B17DE" w14:textId="390473D7" w:rsidR="009F145B" w:rsidRDefault="009F145B" w:rsidP="008A1E5D">
      <w:pPr>
        <w:pStyle w:val="ListNumber0"/>
        <w:numPr>
          <w:ilvl w:val="0"/>
          <w:numId w:val="0"/>
        </w:numPr>
      </w:pPr>
      <w:r>
        <w:t xml:space="preserve">The Centre for World University Rankings, </w:t>
      </w:r>
      <w:r w:rsidRPr="009F145B">
        <w:rPr>
          <w:i/>
        </w:rPr>
        <w:t>Ophthalmology Rankings</w:t>
      </w:r>
      <w:r>
        <w:t xml:space="preserve"> 2017, </w:t>
      </w:r>
      <w:hyperlink r:id="rId26" w:anchor="Ophthalmology" w:history="1">
        <w:r w:rsidRPr="009F145B">
          <w:rPr>
            <w:rStyle w:val="Hyperlink"/>
            <w:color w:val="32619D" w:themeColor="accent3"/>
          </w:rPr>
          <w:t>https://cwur.org/2017/subjects.php#Ophthalmology</w:t>
        </w:r>
      </w:hyperlink>
      <w:r>
        <w:t xml:space="preserve">. </w:t>
      </w:r>
    </w:p>
    <w:p w14:paraId="0E9140DA" w14:textId="0E3A44B0" w:rsidR="008A1E5D" w:rsidRDefault="008A1E5D" w:rsidP="008A1E5D">
      <w:pPr>
        <w:pStyle w:val="ListNumber0"/>
        <w:numPr>
          <w:ilvl w:val="0"/>
          <w:numId w:val="0"/>
        </w:numPr>
        <w:rPr>
          <w:szCs w:val="18"/>
        </w:rPr>
      </w:pPr>
      <w:r w:rsidRPr="00C34E5E">
        <w:rPr>
          <w:szCs w:val="18"/>
        </w:rPr>
        <w:t xml:space="preserve">The Pacific Eye Institute, </w:t>
      </w:r>
      <w:proofErr w:type="gramStart"/>
      <w:r w:rsidRPr="00C34E5E">
        <w:rPr>
          <w:i/>
          <w:szCs w:val="18"/>
        </w:rPr>
        <w:t>The</w:t>
      </w:r>
      <w:proofErr w:type="gramEnd"/>
      <w:r w:rsidRPr="00C34E5E">
        <w:rPr>
          <w:i/>
          <w:szCs w:val="18"/>
        </w:rPr>
        <w:t xml:space="preserve"> Pacific Eye Institute: What We Do</w:t>
      </w:r>
      <w:r w:rsidRPr="00C34E5E">
        <w:rPr>
          <w:szCs w:val="18"/>
        </w:rPr>
        <w:t xml:space="preserve"> 2018, </w:t>
      </w:r>
      <w:hyperlink r:id="rId27" w:history="1">
        <w:r w:rsidRPr="00C34E5E">
          <w:rPr>
            <w:rStyle w:val="Hyperlink"/>
            <w:color w:val="004B8D" w:themeColor="accent1"/>
            <w:szCs w:val="18"/>
          </w:rPr>
          <w:t>http://www.pacificeyeinstitute.org/</w:t>
        </w:r>
      </w:hyperlink>
      <w:r w:rsidRPr="00C34E5E">
        <w:rPr>
          <w:szCs w:val="18"/>
        </w:rPr>
        <w:t>.</w:t>
      </w:r>
    </w:p>
    <w:p w14:paraId="6C69C5BA" w14:textId="06E8C993" w:rsidR="008A1E5D" w:rsidRPr="00470A30" w:rsidRDefault="008A1E5D" w:rsidP="008A1E5D">
      <w:pPr>
        <w:pStyle w:val="ListNumber0"/>
        <w:numPr>
          <w:ilvl w:val="0"/>
          <w:numId w:val="0"/>
        </w:numPr>
      </w:pPr>
      <w:r w:rsidRPr="007E5935">
        <w:t xml:space="preserve">United Nations, </w:t>
      </w:r>
      <w:r w:rsidRPr="009F145B">
        <w:rPr>
          <w:i/>
        </w:rPr>
        <w:t>Addis Ababa Action Agenda of the Third International Conference on financing for Development</w:t>
      </w:r>
      <w:r w:rsidRPr="007E5935">
        <w:t xml:space="preserve"> 2015</w:t>
      </w:r>
      <w:r>
        <w:t>,</w:t>
      </w:r>
      <w:r w:rsidRPr="007E5935">
        <w:t xml:space="preserve"> </w:t>
      </w:r>
      <w:hyperlink r:id="rId28" w:history="1">
        <w:r w:rsidRPr="009F145B">
          <w:rPr>
            <w:rStyle w:val="Hyperlink"/>
            <w:color w:val="004B8D" w:themeColor="accent1"/>
          </w:rPr>
          <w:t>http://www.un.org/esa/ffd/ffd3/wp-content/uploads/sites/2/2015/07/Addis-Ababa-Action-Agenda-Draft-Outcome-Document-7-July-2015.pdf</w:t>
        </w:r>
      </w:hyperlink>
      <w:r w:rsidRPr="007E5935">
        <w:t>.</w:t>
      </w:r>
    </w:p>
    <w:p w14:paraId="7D0F2ABE" w14:textId="77777777" w:rsidR="009F145B" w:rsidRPr="009F145B" w:rsidRDefault="009F145B" w:rsidP="008A1E5D">
      <w:pPr>
        <w:pStyle w:val="ListNumber0"/>
        <w:numPr>
          <w:ilvl w:val="0"/>
          <w:numId w:val="0"/>
        </w:numPr>
        <w:rPr>
          <w:sz w:val="24"/>
        </w:rPr>
      </w:pPr>
      <w:r>
        <w:t xml:space="preserve">Vision 2020 Australia, Diabetes Australia, Centre for Eye Research Australia, </w:t>
      </w:r>
      <w:r>
        <w:rPr>
          <w:i/>
        </w:rPr>
        <w:t>The Case for an Australian Diabetes Blindness Prevention Initiative</w:t>
      </w:r>
      <w:r>
        <w:t xml:space="preserve"> 2017, </w:t>
      </w:r>
      <w:hyperlink r:id="rId29" w:history="1">
        <w:r w:rsidRPr="00C34E5E">
          <w:rPr>
            <w:rStyle w:val="Hyperlink"/>
            <w:color w:val="004B8D" w:themeColor="accent1"/>
          </w:rPr>
          <w:t>https://static.diabetesaustralia.com.au/s/fileassets/diabetes-australia/0b771704-2c02-4211-8cf6-b15982da01bb.pdf</w:t>
        </w:r>
      </w:hyperlink>
      <w:r>
        <w:t>.</w:t>
      </w:r>
    </w:p>
    <w:p w14:paraId="14E31090" w14:textId="77777777" w:rsidR="009F145B" w:rsidRPr="009F145B" w:rsidRDefault="009F145B" w:rsidP="008A1E5D">
      <w:pPr>
        <w:pStyle w:val="ListNumber0"/>
        <w:numPr>
          <w:ilvl w:val="0"/>
          <w:numId w:val="0"/>
        </w:numPr>
        <w:rPr>
          <w:sz w:val="24"/>
        </w:rPr>
      </w:pPr>
      <w:r>
        <w:t xml:space="preserve">WHO, </w:t>
      </w:r>
      <w:r>
        <w:rPr>
          <w:i/>
        </w:rPr>
        <w:t>Non-communicable Diseases in the Pacific</w:t>
      </w:r>
      <w:r>
        <w:t xml:space="preserve">, Division of Pacific Technical Support 2018, </w:t>
      </w:r>
      <w:hyperlink r:id="rId30" w:history="1">
        <w:r w:rsidRPr="004672E5">
          <w:rPr>
            <w:rStyle w:val="Hyperlink"/>
            <w:color w:val="004B8D" w:themeColor="accent1"/>
          </w:rPr>
          <w:t>http://www.wpro.who.int/southpacific/programmes/healthy_communities/noncommunicable_diseases/page/en/</w:t>
        </w:r>
      </w:hyperlink>
      <w:r>
        <w:t>.</w:t>
      </w:r>
    </w:p>
    <w:p w14:paraId="65FF1025" w14:textId="77777777" w:rsidR="009F145B" w:rsidRPr="009F145B" w:rsidRDefault="009F145B" w:rsidP="008A1E5D">
      <w:pPr>
        <w:pStyle w:val="ListNumber0"/>
        <w:numPr>
          <w:ilvl w:val="0"/>
          <w:numId w:val="0"/>
        </w:numPr>
        <w:rPr>
          <w:sz w:val="24"/>
        </w:rPr>
      </w:pPr>
      <w:r>
        <w:t xml:space="preserve">WHO, </w:t>
      </w:r>
      <w:r>
        <w:rPr>
          <w:i/>
        </w:rPr>
        <w:t>World Report on Vision</w:t>
      </w:r>
      <w:r>
        <w:t xml:space="preserve">, Blindness and Vision Impairment Prevention 2018, </w:t>
      </w:r>
      <w:hyperlink r:id="rId31" w:history="1">
        <w:r w:rsidRPr="00D75CA2">
          <w:rPr>
            <w:rStyle w:val="Hyperlink"/>
            <w:color w:val="004B8D" w:themeColor="accent1"/>
          </w:rPr>
          <w:t>http://</w:t>
        </w:r>
        <w:bookmarkStart w:id="11" w:name="_GoBack"/>
        <w:bookmarkEnd w:id="11"/>
        <w:r w:rsidRPr="00D75CA2">
          <w:rPr>
            <w:rStyle w:val="Hyperlink"/>
            <w:color w:val="004B8D" w:themeColor="accent1"/>
          </w:rPr>
          <w:t>www.who.int/blindness/vision-report/en/</w:t>
        </w:r>
      </w:hyperlink>
      <w:r>
        <w:t>.</w:t>
      </w:r>
    </w:p>
    <w:sectPr w:rsidR="009F145B" w:rsidRPr="009F145B" w:rsidSect="002F2F7A">
      <w:headerReference w:type="default" r:id="rId32"/>
      <w:footerReference w:type="default" r:id="rId33"/>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8500F" w14:textId="77777777" w:rsidR="005335B1" w:rsidRDefault="005335B1" w:rsidP="00185154">
      <w:r>
        <w:separator/>
      </w:r>
    </w:p>
    <w:p w14:paraId="46E43367" w14:textId="77777777" w:rsidR="005335B1" w:rsidRDefault="005335B1"/>
  </w:endnote>
  <w:endnote w:type="continuationSeparator" w:id="0">
    <w:p w14:paraId="58D230F4" w14:textId="77777777" w:rsidR="005335B1" w:rsidRDefault="005335B1" w:rsidP="00185154">
      <w:r>
        <w:continuationSeparator/>
      </w:r>
    </w:p>
    <w:p w14:paraId="12ACF934" w14:textId="77777777" w:rsidR="005335B1" w:rsidRDefault="005335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31768" w14:textId="77777777" w:rsidR="005335B1" w:rsidRDefault="005335B1" w:rsidP="002F2F7A">
    <w:pPr>
      <w:pStyle w:val="Footer"/>
    </w:pPr>
    <w:r>
      <w:tab/>
    </w:r>
    <w:r>
      <w:rPr>
        <w:noProof w:val="0"/>
      </w:rPr>
      <w:fldChar w:fldCharType="begin"/>
    </w:r>
    <w:r>
      <w:instrText xml:space="preserve"> PAGE  \* Arabic  \* MERGEFORMAT </w:instrText>
    </w:r>
    <w:r>
      <w:rPr>
        <w:noProof w:val="0"/>
      </w:rP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2FCE3" w14:textId="4BA72A9D" w:rsidR="005335B1" w:rsidRPr="002F2F7A" w:rsidRDefault="005335B1" w:rsidP="002F2F7A">
    <w:pPr>
      <w:pStyle w:val="Footer"/>
    </w:pPr>
    <w:r>
      <w:rPr>
        <w:noProof w:val="0"/>
      </w:rPr>
      <w:fldChar w:fldCharType="begin"/>
    </w:r>
    <w:r>
      <w:instrText xml:space="preserve"> PAGE   \* MERGEFORMAT </w:instrText>
    </w:r>
    <w:r>
      <w:rPr>
        <w:noProof w:val="0"/>
      </w:rPr>
      <w:fldChar w:fldCharType="separate"/>
    </w:r>
    <w:r w:rsidR="008A1E5D">
      <w:t>14</w:t>
    </w:r>
    <w:r>
      <w:fldChar w:fldCharType="end"/>
    </w:r>
    <w:r>
      <w:tab/>
    </w:r>
    <w:fldSimple w:instr=" STYLEREF  DocTitle  \* MERGEFORMAT ">
      <w:r w:rsidR="008A1E5D">
        <w:t>DFAT Soft Power Review</w:t>
      </w:r>
    </w:fldSimple>
    <w:r>
      <w:t xml:space="preserve"> </w:t>
    </w:r>
    <w:r>
      <w:noBreakHyphen/>
      <w:t xml:space="preserve"> </w:t>
    </w:r>
    <w:r>
      <w:rPr>
        <w:iCs/>
      </w:rPr>
      <w:fldChar w:fldCharType="begin"/>
    </w:r>
    <w:r>
      <w:rPr>
        <w:iCs/>
      </w:rPr>
      <w:instrText xml:space="preserve"> STYLEREF  DocSubtitle  \* MERGEFORMAT </w:instrText>
    </w:r>
    <w:r>
      <w:rPr>
        <w:iCs/>
      </w:rPr>
      <w:fldChar w:fldCharType="separate"/>
    </w:r>
    <w:r w:rsidR="008A1E5D" w:rsidRPr="008A1E5D">
      <w:rPr>
        <w:b/>
        <w:bCs/>
        <w:iCs/>
        <w:lang w:val="en-US"/>
      </w:rPr>
      <w:t>Inclusive</w:t>
    </w:r>
    <w:r w:rsidR="008A1E5D">
      <w:rPr>
        <w:iCs/>
      </w:rPr>
      <w:t xml:space="preserve"> Eye Health and Vision Care as a Soft Power Asset</w:t>
    </w:r>
    <w:r>
      <w:rPr>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D0FEB" w14:textId="77777777" w:rsidR="005335B1" w:rsidRDefault="005335B1" w:rsidP="00185154">
      <w:r>
        <w:separator/>
      </w:r>
    </w:p>
    <w:p w14:paraId="4D185382" w14:textId="77777777" w:rsidR="005335B1" w:rsidRDefault="005335B1"/>
  </w:footnote>
  <w:footnote w:type="continuationSeparator" w:id="0">
    <w:p w14:paraId="2B317359" w14:textId="77777777" w:rsidR="005335B1" w:rsidRDefault="005335B1" w:rsidP="00185154">
      <w:r>
        <w:continuationSeparator/>
      </w:r>
    </w:p>
    <w:p w14:paraId="2322D528" w14:textId="77777777" w:rsidR="005335B1" w:rsidRDefault="005335B1"/>
  </w:footnote>
  <w:footnote w:id="1">
    <w:p w14:paraId="0655F5F5" w14:textId="77777777" w:rsidR="005335B1" w:rsidRPr="003033F2" w:rsidRDefault="005335B1" w:rsidP="00DF74A2">
      <w:pPr>
        <w:autoSpaceDE w:val="0"/>
        <w:autoSpaceDN w:val="0"/>
        <w:adjustRightInd w:val="0"/>
        <w:rPr>
          <w:rFonts w:ascii="Trebuchet MS" w:hAnsi="Trebuchet MS" w:cs="Trebuchet MS"/>
          <w:i/>
          <w:iCs/>
          <w:color w:val="000000"/>
          <w:sz w:val="18"/>
          <w:szCs w:val="20"/>
        </w:rPr>
      </w:pPr>
      <w:r w:rsidRPr="00857C22">
        <w:rPr>
          <w:rStyle w:val="FootnoteReference"/>
          <w:sz w:val="18"/>
          <w:szCs w:val="18"/>
        </w:rPr>
        <w:footnoteRef/>
      </w:r>
      <w:r w:rsidRPr="00857C22">
        <w:rPr>
          <w:sz w:val="18"/>
          <w:szCs w:val="18"/>
        </w:rPr>
        <w:t xml:space="preserve"> </w:t>
      </w:r>
      <w:r w:rsidRPr="003033F2">
        <w:rPr>
          <w:rFonts w:ascii="Trebuchet MS" w:hAnsi="Trebuchet MS" w:cs="Trebuchet MS"/>
          <w:color w:val="000000"/>
          <w:sz w:val="18"/>
          <w:szCs w:val="20"/>
        </w:rPr>
        <w:t xml:space="preserve">Bourne, R, Flaxman, S, Braithwaite, T et al. </w:t>
      </w:r>
      <w:r w:rsidRPr="003033F2">
        <w:rPr>
          <w:rFonts w:ascii="Trebuchet MS" w:hAnsi="Trebuchet MS" w:cs="Trebuchet MS"/>
          <w:i/>
          <w:iCs/>
          <w:color w:val="000000"/>
          <w:sz w:val="18"/>
          <w:szCs w:val="20"/>
        </w:rPr>
        <w:t>Magnitude, Temporal Trends, and Projections</w:t>
      </w:r>
    </w:p>
    <w:p w14:paraId="2AC95C59" w14:textId="77777777" w:rsidR="005335B1" w:rsidRPr="003033F2" w:rsidRDefault="005335B1" w:rsidP="00DF74A2">
      <w:pPr>
        <w:autoSpaceDE w:val="0"/>
        <w:autoSpaceDN w:val="0"/>
        <w:adjustRightInd w:val="0"/>
        <w:rPr>
          <w:rFonts w:ascii="Trebuchet MS" w:hAnsi="Trebuchet MS" w:cs="Trebuchet MS"/>
          <w:i/>
          <w:iCs/>
          <w:color w:val="000000"/>
          <w:sz w:val="18"/>
          <w:szCs w:val="20"/>
        </w:rPr>
      </w:pPr>
      <w:r w:rsidRPr="003033F2">
        <w:rPr>
          <w:rFonts w:ascii="Trebuchet MS" w:hAnsi="Trebuchet MS" w:cs="Trebuchet MS"/>
          <w:i/>
          <w:iCs/>
          <w:color w:val="000000"/>
          <w:sz w:val="18"/>
          <w:szCs w:val="20"/>
        </w:rPr>
        <w:t>of the Global Prevalence of Blindness and Distance and Near Vision Impairment: A</w:t>
      </w:r>
    </w:p>
    <w:p w14:paraId="09E8797C" w14:textId="77777777" w:rsidR="005335B1" w:rsidRPr="003033F2" w:rsidRDefault="005335B1" w:rsidP="00DF74A2">
      <w:pPr>
        <w:autoSpaceDE w:val="0"/>
        <w:autoSpaceDN w:val="0"/>
        <w:adjustRightInd w:val="0"/>
        <w:rPr>
          <w:rFonts w:ascii="Trebuchet MS" w:hAnsi="Trebuchet MS" w:cs="Trebuchet MS"/>
          <w:color w:val="000000"/>
          <w:sz w:val="18"/>
          <w:szCs w:val="20"/>
        </w:rPr>
      </w:pPr>
      <w:r w:rsidRPr="003033F2">
        <w:rPr>
          <w:rFonts w:ascii="Trebuchet MS" w:hAnsi="Trebuchet MS" w:cs="Trebuchet MS"/>
          <w:i/>
          <w:iCs/>
          <w:color w:val="000000"/>
          <w:sz w:val="18"/>
          <w:szCs w:val="20"/>
        </w:rPr>
        <w:t>Systematic Review and Meta-Analysis</w:t>
      </w:r>
      <w:r w:rsidRPr="003033F2">
        <w:rPr>
          <w:rFonts w:ascii="Trebuchet MS" w:hAnsi="Trebuchet MS" w:cs="Trebuchet MS"/>
          <w:color w:val="000000"/>
          <w:sz w:val="18"/>
          <w:szCs w:val="20"/>
        </w:rPr>
        <w:t>, The Lancet Global Health 2017, 5(9): 888-897,</w:t>
      </w:r>
    </w:p>
    <w:p w14:paraId="483E240B" w14:textId="75A28302" w:rsidR="005335B1" w:rsidRPr="0084325B" w:rsidRDefault="008A1E5D" w:rsidP="00DF74A2">
      <w:pPr>
        <w:rPr>
          <w:rFonts w:ascii="Trebuchet MS" w:hAnsi="Trebuchet MS" w:cs="Trebuchet MS"/>
          <w:color w:val="000000"/>
          <w:sz w:val="20"/>
          <w:szCs w:val="20"/>
        </w:rPr>
      </w:pPr>
      <w:hyperlink r:id="rId1" w:history="1">
        <w:r w:rsidR="005335B1" w:rsidRPr="003033F2">
          <w:rPr>
            <w:rFonts w:ascii="Trebuchet MS" w:hAnsi="Trebuchet MS" w:cs="Trebuchet MS"/>
            <w:color w:val="004B8D" w:themeColor="accent1"/>
            <w:sz w:val="18"/>
            <w:szCs w:val="20"/>
            <w:u w:val="single"/>
          </w:rPr>
          <w:t>https://www.thelancet.com/journals/langlo/article/PIIS2214-109X(17)30293-0/fulltext</w:t>
        </w:r>
      </w:hyperlink>
      <w:r w:rsidR="005335B1" w:rsidRPr="003033F2">
        <w:rPr>
          <w:rFonts w:ascii="Trebuchet MS" w:hAnsi="Trebuchet MS" w:cs="Trebuchet MS"/>
          <w:color w:val="000000"/>
          <w:sz w:val="18"/>
          <w:szCs w:val="20"/>
        </w:rPr>
        <w:t>.</w:t>
      </w:r>
    </w:p>
  </w:footnote>
  <w:footnote w:id="2">
    <w:p w14:paraId="12F99A95" w14:textId="77777777" w:rsidR="005335B1" w:rsidRDefault="005335B1" w:rsidP="00DF74A2">
      <w:pPr>
        <w:pStyle w:val="FootnoteText"/>
      </w:pPr>
    </w:p>
    <w:p w14:paraId="0CABFEC7"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Op. Cit. Bourne R, et al. 2017</w:t>
      </w:r>
    </w:p>
    <w:p w14:paraId="3D59D80F" w14:textId="77777777" w:rsidR="005335B1" w:rsidRPr="003033F2" w:rsidRDefault="005335B1" w:rsidP="00DF74A2">
      <w:pPr>
        <w:pStyle w:val="FootnoteText"/>
        <w:rPr>
          <w:sz w:val="18"/>
          <w:szCs w:val="18"/>
        </w:rPr>
      </w:pPr>
    </w:p>
  </w:footnote>
  <w:footnote w:id="3">
    <w:p w14:paraId="3AC28108"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Op. Cit. Bourne R, et al. 2017</w:t>
      </w:r>
    </w:p>
    <w:p w14:paraId="52DCD19E" w14:textId="77777777" w:rsidR="005335B1" w:rsidRPr="003033F2" w:rsidRDefault="005335B1" w:rsidP="00DF74A2">
      <w:pPr>
        <w:pStyle w:val="FootnoteText"/>
        <w:rPr>
          <w:sz w:val="18"/>
          <w:szCs w:val="18"/>
        </w:rPr>
      </w:pPr>
    </w:p>
  </w:footnote>
  <w:footnote w:id="4">
    <w:p w14:paraId="7C627FB3" w14:textId="77777777" w:rsidR="005335B1" w:rsidRPr="003033F2" w:rsidRDefault="005335B1" w:rsidP="00DF74A2">
      <w:pPr>
        <w:autoSpaceDE w:val="0"/>
        <w:autoSpaceDN w:val="0"/>
        <w:adjustRightInd w:val="0"/>
        <w:rPr>
          <w:rFonts w:ascii="Trebuchet MS" w:hAnsi="Trebuchet MS" w:cs="Trebuchet MS"/>
          <w:i/>
          <w:iCs/>
          <w:color w:val="000000"/>
          <w:sz w:val="18"/>
          <w:szCs w:val="18"/>
        </w:rPr>
      </w:pPr>
      <w:r w:rsidRPr="003033F2">
        <w:rPr>
          <w:rStyle w:val="FootnoteReference"/>
          <w:sz w:val="18"/>
          <w:szCs w:val="18"/>
        </w:rPr>
        <w:footnoteRef/>
      </w:r>
      <w:r w:rsidRPr="003033F2">
        <w:rPr>
          <w:sz w:val="18"/>
          <w:szCs w:val="18"/>
        </w:rPr>
        <w:t xml:space="preserve"> </w:t>
      </w:r>
      <w:r w:rsidRPr="003033F2">
        <w:rPr>
          <w:rFonts w:ascii="Trebuchet MS" w:hAnsi="Trebuchet MS" w:cs="Trebuchet MS"/>
          <w:color w:val="000000"/>
          <w:sz w:val="18"/>
          <w:szCs w:val="18"/>
        </w:rPr>
        <w:t xml:space="preserve">International Agency for the Prevention of Blindness, </w:t>
      </w:r>
      <w:r w:rsidRPr="003033F2">
        <w:rPr>
          <w:rFonts w:ascii="Trebuchet MS" w:hAnsi="Trebuchet MS" w:cs="Trebuchet MS"/>
          <w:i/>
          <w:iCs/>
          <w:color w:val="000000"/>
          <w:sz w:val="18"/>
          <w:szCs w:val="18"/>
        </w:rPr>
        <w:t>IAPB Vision Atlas: Regional Estimates</w:t>
      </w:r>
    </w:p>
    <w:p w14:paraId="69C9E60B" w14:textId="2B880C55" w:rsidR="005335B1" w:rsidRPr="003033F2" w:rsidRDefault="005335B1" w:rsidP="00DF74A2">
      <w:pPr>
        <w:autoSpaceDE w:val="0"/>
        <w:autoSpaceDN w:val="0"/>
        <w:adjustRightInd w:val="0"/>
        <w:rPr>
          <w:rFonts w:ascii="Trebuchet MS" w:hAnsi="Trebuchet MS" w:cs="Trebuchet MS"/>
          <w:color w:val="000000"/>
          <w:sz w:val="18"/>
          <w:szCs w:val="18"/>
        </w:rPr>
      </w:pPr>
      <w:proofErr w:type="gramStart"/>
      <w:r w:rsidRPr="003033F2">
        <w:rPr>
          <w:rFonts w:ascii="Trebuchet MS" w:hAnsi="Trebuchet MS" w:cs="Trebuchet MS"/>
          <w:i/>
          <w:iCs/>
          <w:color w:val="000000"/>
          <w:sz w:val="18"/>
          <w:szCs w:val="18"/>
        </w:rPr>
        <w:t>of</w:t>
      </w:r>
      <w:proofErr w:type="gramEnd"/>
      <w:r w:rsidRPr="003033F2">
        <w:rPr>
          <w:rFonts w:ascii="Trebuchet MS" w:hAnsi="Trebuchet MS" w:cs="Trebuchet MS"/>
          <w:i/>
          <w:iCs/>
          <w:color w:val="000000"/>
          <w:sz w:val="18"/>
          <w:szCs w:val="18"/>
        </w:rPr>
        <w:t xml:space="preserve"> Distance-Vision Loss </w:t>
      </w:r>
      <w:r w:rsidRPr="003033F2">
        <w:rPr>
          <w:rFonts w:ascii="Trebuchet MS" w:hAnsi="Trebuchet MS" w:cs="Trebuchet MS"/>
          <w:color w:val="000000"/>
          <w:sz w:val="18"/>
          <w:szCs w:val="18"/>
        </w:rPr>
        <w:t>2017,</w:t>
      </w:r>
      <w:r w:rsidRPr="003033F2">
        <w:rPr>
          <w:rFonts w:ascii="Trebuchet MS" w:hAnsi="Trebuchet MS" w:cs="Trebuchet MS"/>
          <w:color w:val="004B8D" w:themeColor="accent1"/>
          <w:sz w:val="18"/>
          <w:szCs w:val="18"/>
        </w:rPr>
        <w:t xml:space="preserve"> </w:t>
      </w:r>
      <w:hyperlink r:id="rId2" w:history="1">
        <w:r w:rsidRPr="003033F2">
          <w:rPr>
            <w:rStyle w:val="Hyperlink"/>
            <w:rFonts w:ascii="Trebuchet MS" w:hAnsi="Trebuchet MS" w:cs="Trebuchet MS"/>
            <w:color w:val="004B8D" w:themeColor="accent1"/>
            <w:sz w:val="18"/>
            <w:szCs w:val="18"/>
          </w:rPr>
          <w:t>http://atlas.iapb.org/global-burden-vision-impairment/gbvi-regional-estimates-of-distance-vision-loss/</w:t>
        </w:r>
      </w:hyperlink>
      <w:r w:rsidRPr="003033F2">
        <w:rPr>
          <w:rFonts w:ascii="Trebuchet MS" w:hAnsi="Trebuchet MS" w:cs="Trebuchet MS"/>
          <w:color w:val="000000"/>
          <w:sz w:val="18"/>
          <w:szCs w:val="18"/>
        </w:rPr>
        <w:t>.</w:t>
      </w:r>
    </w:p>
    <w:p w14:paraId="018B231E" w14:textId="1B8AD6A5" w:rsidR="005335B1" w:rsidRPr="003033F2" w:rsidRDefault="005335B1" w:rsidP="00DF74A2">
      <w:pPr>
        <w:autoSpaceDE w:val="0"/>
        <w:autoSpaceDN w:val="0"/>
        <w:adjustRightInd w:val="0"/>
        <w:rPr>
          <w:rFonts w:ascii="Trebuchet MS" w:hAnsi="Trebuchet MS" w:cs="Trebuchet MS"/>
          <w:color w:val="000000"/>
          <w:sz w:val="18"/>
          <w:szCs w:val="18"/>
        </w:rPr>
      </w:pPr>
    </w:p>
  </w:footnote>
  <w:footnote w:id="5">
    <w:p w14:paraId="51CEF7AF" w14:textId="77777777" w:rsidR="005335B1" w:rsidRPr="003033F2" w:rsidRDefault="005335B1" w:rsidP="002D4A4F">
      <w:pPr>
        <w:pStyle w:val="FootnoteText"/>
        <w:rPr>
          <w:rFonts w:ascii="Trebuchet MS" w:hAnsi="Trebuchet MS" w:cs="Times New Roman"/>
          <w:sz w:val="18"/>
          <w:szCs w:val="18"/>
        </w:rPr>
      </w:pPr>
      <w:r w:rsidRPr="003033F2">
        <w:rPr>
          <w:rStyle w:val="FootnoteReference"/>
          <w:sz w:val="18"/>
          <w:szCs w:val="18"/>
        </w:rPr>
        <w:footnoteRef/>
      </w:r>
      <w:r w:rsidRPr="003033F2">
        <w:rPr>
          <w:sz w:val="18"/>
          <w:szCs w:val="18"/>
        </w:rPr>
        <w:t xml:space="preserve"> PricewaterhouseCoopers, </w:t>
      </w:r>
      <w:r w:rsidRPr="003033F2">
        <w:rPr>
          <w:i/>
          <w:sz w:val="18"/>
          <w:szCs w:val="18"/>
        </w:rPr>
        <w:t>Investing in Vision: The Costs and Benefits of Ending Avoidable Blindness</w:t>
      </w:r>
      <w:r w:rsidRPr="003033F2">
        <w:rPr>
          <w:sz w:val="18"/>
          <w:szCs w:val="18"/>
        </w:rPr>
        <w:t xml:space="preserve"> 2014, </w:t>
      </w:r>
      <w:hyperlink r:id="rId3" w:history="1">
        <w:r w:rsidRPr="003033F2">
          <w:rPr>
            <w:rStyle w:val="Hyperlink"/>
            <w:color w:val="004B8D" w:themeColor="accent1"/>
            <w:sz w:val="18"/>
            <w:szCs w:val="18"/>
          </w:rPr>
          <w:t>https://www.hollows.org/getattachment/au/What-We-Do/Ending-Avoidable-blindness/Research/PwC-Investing-in-Vision.pdf.aspx</w:t>
        </w:r>
      </w:hyperlink>
      <w:r w:rsidRPr="003033F2">
        <w:rPr>
          <w:sz w:val="18"/>
          <w:szCs w:val="18"/>
        </w:rPr>
        <w:t>.</w:t>
      </w:r>
    </w:p>
    <w:p w14:paraId="0C00E0DA" w14:textId="77777777" w:rsidR="005335B1" w:rsidRDefault="005335B1" w:rsidP="002D4A4F">
      <w:pPr>
        <w:pStyle w:val="FootnoteText"/>
        <w:rPr>
          <w:sz w:val="18"/>
          <w:szCs w:val="18"/>
        </w:rPr>
      </w:pPr>
    </w:p>
  </w:footnote>
  <w:footnote w:id="6">
    <w:p w14:paraId="6E23C37E" w14:textId="77777777" w:rsidR="003D6D1C" w:rsidRPr="003033F2" w:rsidRDefault="003D6D1C" w:rsidP="003D6D1C">
      <w:pPr>
        <w:pStyle w:val="FootnoteText"/>
        <w:rPr>
          <w:sz w:val="18"/>
        </w:rPr>
      </w:pPr>
      <w:r w:rsidRPr="003033F2">
        <w:rPr>
          <w:rStyle w:val="FootnoteReference"/>
          <w:sz w:val="18"/>
        </w:rPr>
        <w:footnoteRef/>
      </w:r>
      <w:r w:rsidRPr="003033F2">
        <w:rPr>
          <w:sz w:val="18"/>
        </w:rPr>
        <w:t xml:space="preserve"> United Nations, </w:t>
      </w:r>
      <w:r w:rsidRPr="003033F2">
        <w:rPr>
          <w:i/>
          <w:sz w:val="18"/>
        </w:rPr>
        <w:t>Addis Ababa Action Agenda of the Third International Conference on financing for Development</w:t>
      </w:r>
      <w:r w:rsidRPr="003033F2">
        <w:rPr>
          <w:sz w:val="18"/>
        </w:rPr>
        <w:t xml:space="preserve"> 2015, </w:t>
      </w:r>
      <w:hyperlink r:id="rId4" w:history="1">
        <w:r w:rsidRPr="003033F2">
          <w:rPr>
            <w:rStyle w:val="Hyperlink"/>
            <w:color w:val="004B8D" w:themeColor="accent1"/>
            <w:sz w:val="18"/>
          </w:rPr>
          <w:t>http://www.un.org/esa/ffd/ffd3/wp-content/uploads/sites/2/2015/07/Addis-Ababa-Action-Agenda-Draft-Outcome-Document-7-July-2015.pdf</w:t>
        </w:r>
      </w:hyperlink>
      <w:r w:rsidRPr="003033F2">
        <w:rPr>
          <w:sz w:val="18"/>
        </w:rPr>
        <w:t>.</w:t>
      </w:r>
    </w:p>
    <w:p w14:paraId="6D0FABF0" w14:textId="77777777" w:rsidR="003D6D1C" w:rsidRPr="003033F2" w:rsidRDefault="003D6D1C" w:rsidP="003D6D1C">
      <w:pPr>
        <w:pStyle w:val="FootnoteText"/>
        <w:rPr>
          <w:sz w:val="18"/>
        </w:rPr>
      </w:pPr>
    </w:p>
  </w:footnote>
  <w:footnote w:id="7">
    <w:p w14:paraId="18BEB5D5" w14:textId="77777777" w:rsidR="005335B1" w:rsidRPr="003033F2" w:rsidRDefault="005335B1" w:rsidP="00DF74A2">
      <w:pPr>
        <w:pStyle w:val="FootnoteText"/>
        <w:rPr>
          <w:rStyle w:val="Hyperlink"/>
          <w:sz w:val="18"/>
        </w:rPr>
      </w:pPr>
      <w:r w:rsidRPr="003033F2">
        <w:rPr>
          <w:rStyle w:val="FootnoteReference"/>
          <w:sz w:val="18"/>
        </w:rPr>
        <w:footnoteRef/>
      </w:r>
      <w:r w:rsidRPr="003033F2">
        <w:rPr>
          <w:sz w:val="18"/>
        </w:rPr>
        <w:t xml:space="preserve"> International Agency for the Prevention of Blindness, </w:t>
      </w:r>
      <w:r w:rsidRPr="003033F2">
        <w:rPr>
          <w:i/>
          <w:sz w:val="18"/>
        </w:rPr>
        <w:t xml:space="preserve">The Australian Governments Avoidable Blindness Initiative </w:t>
      </w:r>
      <w:r w:rsidRPr="003033F2">
        <w:rPr>
          <w:sz w:val="18"/>
        </w:rPr>
        <w:t xml:space="preserve">2014, </w:t>
      </w:r>
      <w:hyperlink r:id="rId5" w:history="1">
        <w:r w:rsidRPr="003033F2">
          <w:rPr>
            <w:rStyle w:val="Hyperlink"/>
            <w:color w:val="004B8D" w:themeColor="accent1"/>
            <w:sz w:val="18"/>
          </w:rPr>
          <w:t>https://www.iapb.org/wp-content/uploads/The-Australian-Governments-Avoidable-Blindness-Initiative_Vision-2020-Australia.pdf</w:t>
        </w:r>
      </w:hyperlink>
      <w:r w:rsidRPr="003033F2">
        <w:rPr>
          <w:rStyle w:val="Hyperlink"/>
          <w:sz w:val="18"/>
        </w:rPr>
        <w:t>.</w:t>
      </w:r>
    </w:p>
    <w:p w14:paraId="67526D6A" w14:textId="77777777" w:rsidR="005335B1" w:rsidRPr="003033F2" w:rsidRDefault="005335B1" w:rsidP="00DF74A2">
      <w:pPr>
        <w:pStyle w:val="FootnoteText"/>
        <w:rPr>
          <w:i/>
          <w:sz w:val="18"/>
        </w:rPr>
      </w:pPr>
    </w:p>
  </w:footnote>
  <w:footnote w:id="8">
    <w:p w14:paraId="603C6ED2" w14:textId="77777777" w:rsidR="005335B1" w:rsidRPr="003033F2" w:rsidRDefault="005335B1" w:rsidP="00DF74A2">
      <w:pPr>
        <w:pStyle w:val="FootnoteText"/>
        <w:rPr>
          <w:sz w:val="16"/>
          <w:szCs w:val="18"/>
        </w:rPr>
      </w:pPr>
      <w:r w:rsidRPr="003033F2">
        <w:rPr>
          <w:rStyle w:val="FootnoteReference"/>
          <w:sz w:val="18"/>
        </w:rPr>
        <w:footnoteRef/>
      </w:r>
      <w:r w:rsidRPr="003033F2">
        <w:rPr>
          <w:sz w:val="16"/>
          <w:szCs w:val="18"/>
        </w:rPr>
        <w:t xml:space="preserve"> </w:t>
      </w:r>
      <w:r w:rsidRPr="003033F2">
        <w:rPr>
          <w:sz w:val="18"/>
          <w:szCs w:val="18"/>
        </w:rPr>
        <w:t xml:space="preserve">The Pacific Eye Institute, </w:t>
      </w:r>
      <w:proofErr w:type="gramStart"/>
      <w:r w:rsidRPr="003033F2">
        <w:rPr>
          <w:i/>
          <w:sz w:val="18"/>
          <w:szCs w:val="18"/>
        </w:rPr>
        <w:t>The</w:t>
      </w:r>
      <w:proofErr w:type="gramEnd"/>
      <w:r w:rsidRPr="003033F2">
        <w:rPr>
          <w:i/>
          <w:sz w:val="18"/>
          <w:szCs w:val="18"/>
        </w:rPr>
        <w:t xml:space="preserve"> Pacific Eye Institute: What We Do</w:t>
      </w:r>
      <w:r w:rsidRPr="003033F2">
        <w:rPr>
          <w:sz w:val="18"/>
          <w:szCs w:val="18"/>
        </w:rPr>
        <w:t xml:space="preserve"> 2018, </w:t>
      </w:r>
      <w:hyperlink r:id="rId6" w:history="1">
        <w:r w:rsidRPr="003033F2">
          <w:rPr>
            <w:rStyle w:val="Hyperlink"/>
            <w:color w:val="004B8D" w:themeColor="accent1"/>
            <w:sz w:val="18"/>
            <w:szCs w:val="18"/>
          </w:rPr>
          <w:t>http://www.pacificeyeinstitute.org/</w:t>
        </w:r>
      </w:hyperlink>
      <w:r w:rsidRPr="003033F2">
        <w:rPr>
          <w:sz w:val="18"/>
          <w:szCs w:val="18"/>
        </w:rPr>
        <w:t>.</w:t>
      </w:r>
    </w:p>
    <w:p w14:paraId="09745D09" w14:textId="77777777" w:rsidR="005335B1" w:rsidRDefault="005335B1" w:rsidP="00DF74A2">
      <w:pPr>
        <w:pStyle w:val="FootnoteText"/>
      </w:pPr>
      <w:r w:rsidRPr="003033F2">
        <w:rPr>
          <w:sz w:val="18"/>
        </w:rPr>
        <w:t xml:space="preserve"> </w:t>
      </w:r>
    </w:p>
  </w:footnote>
  <w:footnote w:id="9">
    <w:p w14:paraId="752AD4D0" w14:textId="77777777" w:rsidR="005335B1" w:rsidRPr="003033F2" w:rsidRDefault="005335B1" w:rsidP="00095F2D">
      <w:pPr>
        <w:pStyle w:val="FootnoteText"/>
        <w:rPr>
          <w:sz w:val="18"/>
        </w:rPr>
      </w:pPr>
      <w:r w:rsidRPr="003033F2">
        <w:rPr>
          <w:rStyle w:val="FootnoteReference"/>
          <w:sz w:val="18"/>
        </w:rPr>
        <w:footnoteRef/>
      </w:r>
      <w:r w:rsidRPr="003033F2">
        <w:rPr>
          <w:sz w:val="18"/>
        </w:rPr>
        <w:t xml:space="preserve"> Lowy Institute, </w:t>
      </w:r>
      <w:r w:rsidRPr="003033F2">
        <w:rPr>
          <w:i/>
          <w:sz w:val="18"/>
        </w:rPr>
        <w:t>Lowy Institute Pacific Aid Map</w:t>
      </w:r>
      <w:r w:rsidRPr="003033F2">
        <w:rPr>
          <w:sz w:val="18"/>
        </w:rPr>
        <w:t xml:space="preserve"> 2018, </w:t>
      </w:r>
      <w:hyperlink r:id="rId7" w:history="1">
        <w:r w:rsidRPr="003033F2">
          <w:rPr>
            <w:rStyle w:val="Hyperlink"/>
            <w:color w:val="004B8D" w:themeColor="accent1"/>
            <w:sz w:val="18"/>
          </w:rPr>
          <w:t>https://pacificaidmap.lowyinstitute.org/</w:t>
        </w:r>
      </w:hyperlink>
      <w:r w:rsidRPr="003033F2">
        <w:rPr>
          <w:sz w:val="18"/>
        </w:rPr>
        <w:t>.</w:t>
      </w:r>
    </w:p>
    <w:p w14:paraId="07333098" w14:textId="77777777" w:rsidR="005335B1" w:rsidRPr="003033F2" w:rsidRDefault="005335B1" w:rsidP="00095F2D">
      <w:pPr>
        <w:pStyle w:val="FootnoteText"/>
        <w:rPr>
          <w:sz w:val="18"/>
        </w:rPr>
      </w:pPr>
    </w:p>
  </w:footnote>
  <w:footnote w:id="10">
    <w:p w14:paraId="51DBE29A" w14:textId="77777777" w:rsidR="005335B1" w:rsidRPr="00D75CA2" w:rsidRDefault="005335B1" w:rsidP="00095F2D">
      <w:pPr>
        <w:pStyle w:val="FootnoteText"/>
      </w:pPr>
      <w:r w:rsidRPr="003033F2">
        <w:rPr>
          <w:rStyle w:val="FootnoteReference"/>
          <w:sz w:val="18"/>
        </w:rPr>
        <w:footnoteRef/>
      </w:r>
      <w:r w:rsidRPr="003033F2">
        <w:rPr>
          <w:sz w:val="18"/>
        </w:rPr>
        <w:t xml:space="preserve"> WHO, </w:t>
      </w:r>
      <w:r w:rsidRPr="003033F2">
        <w:rPr>
          <w:i/>
          <w:sz w:val="18"/>
        </w:rPr>
        <w:t>World Report on Vision</w:t>
      </w:r>
      <w:r w:rsidRPr="003033F2">
        <w:rPr>
          <w:sz w:val="18"/>
        </w:rPr>
        <w:t xml:space="preserve">, Blindness and Vision Impairment Prevention 2018, </w:t>
      </w:r>
      <w:hyperlink r:id="rId8" w:history="1">
        <w:r w:rsidRPr="003033F2">
          <w:rPr>
            <w:rStyle w:val="Hyperlink"/>
            <w:color w:val="004B8D" w:themeColor="accent1"/>
            <w:sz w:val="18"/>
          </w:rPr>
          <w:t>http://www.who.int/blindness/vision-report/en/</w:t>
        </w:r>
      </w:hyperlink>
      <w:r w:rsidRPr="003033F2">
        <w:rPr>
          <w:sz w:val="18"/>
        </w:rPr>
        <w:t xml:space="preserve">. </w:t>
      </w:r>
    </w:p>
  </w:footnote>
  <w:footnote w:id="11">
    <w:p w14:paraId="7B910E4D"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Bell, V, </w:t>
      </w:r>
      <w:r w:rsidRPr="003033F2">
        <w:rPr>
          <w:i/>
          <w:sz w:val="18"/>
          <w:szCs w:val="18"/>
        </w:rPr>
        <w:t>Global Consortium East Asia Vision Program: Eye Health Workforce Development and Training Evaluative Review</w:t>
      </w:r>
      <w:r w:rsidRPr="003033F2">
        <w:rPr>
          <w:sz w:val="18"/>
          <w:szCs w:val="18"/>
        </w:rPr>
        <w:t xml:space="preserve"> 2016, </w:t>
      </w:r>
      <w:hyperlink r:id="rId9" w:history="1">
        <w:r w:rsidRPr="003033F2">
          <w:rPr>
            <w:rStyle w:val="Hyperlink"/>
            <w:color w:val="004B8D" w:themeColor="accent1"/>
            <w:sz w:val="18"/>
            <w:szCs w:val="18"/>
          </w:rPr>
          <w:t>http://www.vision2020australia.org.au/uploads/resource/242/EAVP-Combined-Completion-and-Year-Three-Annual-Report_submission_Report-and-annexes_Final_for-website.pdf</w:t>
        </w:r>
      </w:hyperlink>
      <w:r w:rsidRPr="003033F2">
        <w:rPr>
          <w:sz w:val="18"/>
          <w:szCs w:val="18"/>
        </w:rPr>
        <w:t>.</w:t>
      </w:r>
    </w:p>
    <w:p w14:paraId="06DE9072" w14:textId="77777777" w:rsidR="005335B1" w:rsidRPr="003033F2" w:rsidRDefault="005335B1" w:rsidP="00DF74A2">
      <w:pPr>
        <w:pStyle w:val="FootnoteText"/>
        <w:rPr>
          <w:sz w:val="18"/>
          <w:szCs w:val="18"/>
        </w:rPr>
      </w:pPr>
    </w:p>
  </w:footnote>
  <w:footnote w:id="12">
    <w:p w14:paraId="23580B41" w14:textId="77777777" w:rsidR="005335B1" w:rsidRPr="003033F2" w:rsidRDefault="005335B1" w:rsidP="00DF74A2">
      <w:pPr>
        <w:autoSpaceDE w:val="0"/>
        <w:autoSpaceDN w:val="0"/>
        <w:adjustRightInd w:val="0"/>
        <w:rPr>
          <w:rFonts w:ascii="Trebuchet MS" w:hAnsi="Trebuchet MS" w:cs="Trebuchet MS"/>
          <w:color w:val="000000"/>
          <w:sz w:val="18"/>
          <w:szCs w:val="18"/>
        </w:rPr>
      </w:pPr>
      <w:r w:rsidRPr="003033F2">
        <w:rPr>
          <w:rStyle w:val="FootnoteReference"/>
          <w:sz w:val="18"/>
          <w:szCs w:val="18"/>
        </w:rPr>
        <w:footnoteRef/>
      </w:r>
      <w:r w:rsidRPr="003033F2">
        <w:rPr>
          <w:sz w:val="18"/>
          <w:szCs w:val="18"/>
        </w:rPr>
        <w:t xml:space="preserve"> </w:t>
      </w:r>
      <w:r w:rsidRPr="003033F2">
        <w:rPr>
          <w:rFonts w:ascii="Trebuchet MS" w:hAnsi="Trebuchet MS" w:cs="Trebuchet MS"/>
          <w:color w:val="000000"/>
          <w:sz w:val="18"/>
          <w:szCs w:val="18"/>
        </w:rPr>
        <w:t xml:space="preserve">Flaxman, S, Bourne, R, </w:t>
      </w:r>
      <w:proofErr w:type="spellStart"/>
      <w:r w:rsidRPr="003033F2">
        <w:rPr>
          <w:rFonts w:ascii="Trebuchet MS" w:hAnsi="Trebuchet MS" w:cs="Trebuchet MS"/>
          <w:color w:val="000000"/>
          <w:sz w:val="18"/>
          <w:szCs w:val="18"/>
        </w:rPr>
        <w:t>Resinkoff</w:t>
      </w:r>
      <w:proofErr w:type="spellEnd"/>
      <w:r w:rsidRPr="003033F2">
        <w:rPr>
          <w:rFonts w:ascii="Trebuchet MS" w:hAnsi="Trebuchet MS" w:cs="Trebuchet MS"/>
          <w:color w:val="000000"/>
          <w:sz w:val="18"/>
          <w:szCs w:val="18"/>
        </w:rPr>
        <w:t xml:space="preserve">, S et al. </w:t>
      </w:r>
      <w:r w:rsidRPr="003033F2">
        <w:rPr>
          <w:rFonts w:ascii="Trebuchet MS" w:hAnsi="Trebuchet MS" w:cs="Trebuchet MS"/>
          <w:i/>
          <w:iCs/>
          <w:color w:val="000000"/>
          <w:sz w:val="18"/>
          <w:szCs w:val="18"/>
        </w:rPr>
        <w:t>Global Causes of Blindness and Distance Vision Impairment 1990-2020: A Systematic Review and Meta-Analysis</w:t>
      </w:r>
      <w:r w:rsidRPr="003033F2">
        <w:rPr>
          <w:rFonts w:ascii="Trebuchet MS" w:hAnsi="Trebuchet MS" w:cs="Trebuchet MS"/>
          <w:color w:val="000000"/>
          <w:sz w:val="18"/>
          <w:szCs w:val="18"/>
        </w:rPr>
        <w:t xml:space="preserve">, The Lancet Global Health 2017, 5(12): 1221-1234, </w:t>
      </w:r>
      <w:hyperlink r:id="rId10" w:history="1">
        <w:r w:rsidRPr="003033F2">
          <w:rPr>
            <w:rStyle w:val="Hyperlink"/>
            <w:rFonts w:ascii="Trebuchet MS" w:hAnsi="Trebuchet MS" w:cs="Trebuchet MS"/>
            <w:color w:val="004B8D" w:themeColor="accent1"/>
            <w:sz w:val="18"/>
            <w:szCs w:val="18"/>
          </w:rPr>
          <w:t>https://www.thelancet.com/journals/langlo/article/PIIS2214-109X(17)30393-5/fulltext</w:t>
        </w:r>
      </w:hyperlink>
      <w:r w:rsidRPr="003033F2">
        <w:rPr>
          <w:rFonts w:ascii="Trebuchet MS" w:hAnsi="Trebuchet MS" w:cs="Trebuchet MS"/>
          <w:color w:val="000000"/>
          <w:sz w:val="18"/>
          <w:szCs w:val="18"/>
        </w:rPr>
        <w:t>.</w:t>
      </w:r>
    </w:p>
    <w:p w14:paraId="03B48C0B" w14:textId="77777777" w:rsidR="005335B1" w:rsidRPr="00B95D6F" w:rsidRDefault="005335B1" w:rsidP="00DF74A2">
      <w:pPr>
        <w:autoSpaceDE w:val="0"/>
        <w:autoSpaceDN w:val="0"/>
        <w:adjustRightInd w:val="0"/>
        <w:rPr>
          <w:rFonts w:ascii="Trebuchet MS" w:hAnsi="Trebuchet MS" w:cs="Trebuchet MS"/>
          <w:i/>
          <w:iCs/>
          <w:color w:val="000000"/>
          <w:sz w:val="17"/>
          <w:szCs w:val="17"/>
        </w:rPr>
      </w:pPr>
    </w:p>
  </w:footnote>
  <w:footnote w:id="13">
    <w:p w14:paraId="406D23CA"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w:t>
      </w:r>
      <w:proofErr w:type="spellStart"/>
      <w:r w:rsidRPr="003033F2">
        <w:rPr>
          <w:sz w:val="18"/>
          <w:szCs w:val="18"/>
        </w:rPr>
        <w:t>Hannum</w:t>
      </w:r>
      <w:proofErr w:type="spellEnd"/>
      <w:r w:rsidRPr="003033F2">
        <w:rPr>
          <w:sz w:val="18"/>
          <w:szCs w:val="18"/>
        </w:rPr>
        <w:t xml:space="preserve">, E and Zhang, Y, </w:t>
      </w:r>
      <w:r w:rsidRPr="003033F2">
        <w:rPr>
          <w:i/>
          <w:sz w:val="18"/>
          <w:szCs w:val="18"/>
        </w:rPr>
        <w:t xml:space="preserve">Poverty and Proximate Barriers to Learning: Vision Deficiencies, Vision Correction and Educational Outcomes in Rural Northwest China, </w:t>
      </w:r>
      <w:r w:rsidRPr="003033F2">
        <w:rPr>
          <w:sz w:val="18"/>
          <w:szCs w:val="18"/>
        </w:rPr>
        <w:t>World Development</w:t>
      </w:r>
      <w:r w:rsidRPr="003033F2">
        <w:rPr>
          <w:i/>
          <w:sz w:val="18"/>
          <w:szCs w:val="18"/>
        </w:rPr>
        <w:t xml:space="preserve"> </w:t>
      </w:r>
      <w:r w:rsidRPr="003033F2">
        <w:rPr>
          <w:sz w:val="18"/>
          <w:szCs w:val="18"/>
        </w:rPr>
        <w:t xml:space="preserve">2012, 40(9): 1921-1931, </w:t>
      </w:r>
      <w:hyperlink r:id="rId11" w:history="1">
        <w:r w:rsidRPr="003033F2">
          <w:rPr>
            <w:rStyle w:val="Hyperlink"/>
            <w:color w:val="004B8D" w:themeColor="accent1"/>
            <w:sz w:val="18"/>
            <w:szCs w:val="18"/>
          </w:rPr>
          <w:t>https://www.ncbi.nlm.nih.gov/pmc/articles/PMC4655323/</w:t>
        </w:r>
      </w:hyperlink>
      <w:r w:rsidRPr="003033F2">
        <w:rPr>
          <w:sz w:val="18"/>
          <w:szCs w:val="18"/>
        </w:rPr>
        <w:t>.</w:t>
      </w:r>
    </w:p>
    <w:p w14:paraId="3602D327" w14:textId="77777777" w:rsidR="005335B1" w:rsidRPr="00881FA9" w:rsidRDefault="005335B1" w:rsidP="00DF74A2">
      <w:pPr>
        <w:pStyle w:val="FootnoteText"/>
        <w:rPr>
          <w:sz w:val="18"/>
          <w:szCs w:val="18"/>
        </w:rPr>
      </w:pPr>
    </w:p>
  </w:footnote>
  <w:footnote w:id="14">
    <w:p w14:paraId="256B3FAF"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Bourne, R, Flaxman, S, Braithwaite, T et al. </w:t>
      </w:r>
      <w:r w:rsidRPr="003033F2">
        <w:rPr>
          <w:i/>
          <w:sz w:val="18"/>
          <w:szCs w:val="18"/>
        </w:rPr>
        <w:t>Magnitude, Temporal Trends, and Projections of the Global Prevalence of Blindness and Distance and Near Vision Impairment: A Systematic Review and Meta-Analysis</w:t>
      </w:r>
      <w:r w:rsidRPr="003033F2">
        <w:rPr>
          <w:sz w:val="18"/>
          <w:szCs w:val="18"/>
        </w:rPr>
        <w:t xml:space="preserve">, The Lancet Global Health 2017, 5(9): 888-897, </w:t>
      </w:r>
      <w:hyperlink r:id="rId12" w:history="1">
        <w:r w:rsidRPr="003033F2">
          <w:rPr>
            <w:rStyle w:val="Hyperlink"/>
            <w:color w:val="004B8D" w:themeColor="accent1"/>
            <w:sz w:val="18"/>
            <w:szCs w:val="18"/>
          </w:rPr>
          <w:t>https://www.thelancet.com/journals/langlo/article/PIIS2214-109X(17)30293-0/fulltext</w:t>
        </w:r>
      </w:hyperlink>
      <w:r w:rsidRPr="003033F2">
        <w:rPr>
          <w:sz w:val="18"/>
          <w:szCs w:val="18"/>
        </w:rPr>
        <w:t>.</w:t>
      </w:r>
    </w:p>
    <w:p w14:paraId="1E76DF1D" w14:textId="77777777" w:rsidR="005335B1" w:rsidRPr="003033F2" w:rsidRDefault="005335B1" w:rsidP="00DF74A2">
      <w:pPr>
        <w:pStyle w:val="FootnoteText"/>
        <w:rPr>
          <w:rFonts w:ascii="Trebuchet MS" w:hAnsi="Trebuchet MS" w:cs="Times New Roman"/>
          <w:sz w:val="18"/>
          <w:szCs w:val="18"/>
        </w:rPr>
      </w:pPr>
    </w:p>
  </w:footnote>
  <w:footnote w:id="15">
    <w:p w14:paraId="515A1A66"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Op. Cit. Bell, V 2016.</w:t>
      </w:r>
    </w:p>
    <w:p w14:paraId="08B3A41C" w14:textId="77777777" w:rsidR="005335B1" w:rsidRPr="003033F2" w:rsidRDefault="005335B1" w:rsidP="00DF74A2">
      <w:pPr>
        <w:pStyle w:val="FootnoteText"/>
        <w:rPr>
          <w:rFonts w:eastAsia="Trebuchet MS"/>
          <w:sz w:val="18"/>
          <w:szCs w:val="18"/>
        </w:rPr>
      </w:pPr>
    </w:p>
  </w:footnote>
  <w:footnote w:id="16">
    <w:p w14:paraId="6EAB6C9C"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The Centre for World University Rankings, </w:t>
      </w:r>
      <w:r w:rsidRPr="003033F2">
        <w:rPr>
          <w:i/>
          <w:sz w:val="18"/>
          <w:szCs w:val="18"/>
        </w:rPr>
        <w:t>Ophthalmology Rankings</w:t>
      </w:r>
      <w:r w:rsidRPr="003033F2">
        <w:rPr>
          <w:sz w:val="18"/>
          <w:szCs w:val="18"/>
        </w:rPr>
        <w:t xml:space="preserve"> 2017, </w:t>
      </w:r>
      <w:hyperlink r:id="rId13" w:anchor="Ophthalmology" w:history="1">
        <w:r w:rsidRPr="003033F2">
          <w:rPr>
            <w:rStyle w:val="Hyperlink"/>
            <w:color w:val="32619D" w:themeColor="accent3"/>
            <w:sz w:val="18"/>
            <w:szCs w:val="18"/>
          </w:rPr>
          <w:t>https://cwur.org/2017/subjects.php#Ophthalmology</w:t>
        </w:r>
      </w:hyperlink>
      <w:r w:rsidRPr="003033F2">
        <w:rPr>
          <w:sz w:val="18"/>
          <w:szCs w:val="18"/>
        </w:rPr>
        <w:t xml:space="preserve">. </w:t>
      </w:r>
    </w:p>
    <w:p w14:paraId="41727D7B" w14:textId="77777777" w:rsidR="005335B1" w:rsidRDefault="005335B1" w:rsidP="00DF74A2">
      <w:pPr>
        <w:pStyle w:val="FootnoteText"/>
      </w:pPr>
    </w:p>
  </w:footnote>
  <w:footnote w:id="17">
    <w:p w14:paraId="6044A53C"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Department of Health, </w:t>
      </w:r>
      <w:r w:rsidRPr="003033F2">
        <w:rPr>
          <w:i/>
          <w:sz w:val="18"/>
          <w:szCs w:val="18"/>
        </w:rPr>
        <w:t xml:space="preserve">Telehealth </w:t>
      </w:r>
      <w:r w:rsidRPr="003033F2">
        <w:rPr>
          <w:sz w:val="18"/>
          <w:szCs w:val="18"/>
        </w:rPr>
        <w:t xml:space="preserve">2015, </w:t>
      </w:r>
      <w:hyperlink r:id="rId14" w:history="1">
        <w:r w:rsidRPr="003033F2">
          <w:rPr>
            <w:rStyle w:val="Hyperlink"/>
            <w:color w:val="004B8D" w:themeColor="accent1"/>
            <w:sz w:val="18"/>
            <w:szCs w:val="18"/>
          </w:rPr>
          <w:t>http://www.health.gov.au/internet/main/publishing.nsf/content/e-health-telehealth</w:t>
        </w:r>
      </w:hyperlink>
      <w:r w:rsidRPr="003033F2">
        <w:rPr>
          <w:sz w:val="18"/>
          <w:szCs w:val="18"/>
        </w:rPr>
        <w:t>.</w:t>
      </w:r>
    </w:p>
    <w:p w14:paraId="4483C890" w14:textId="77777777" w:rsidR="005335B1" w:rsidRPr="003033F2" w:rsidRDefault="005335B1" w:rsidP="00DF74A2">
      <w:pPr>
        <w:pStyle w:val="FootnoteText"/>
        <w:rPr>
          <w:sz w:val="18"/>
          <w:szCs w:val="18"/>
        </w:rPr>
      </w:pPr>
    </w:p>
  </w:footnote>
  <w:footnote w:id="18">
    <w:p w14:paraId="0EB20705"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Sreelatha, O and Ramesh, S, </w:t>
      </w:r>
      <w:r w:rsidRPr="003033F2">
        <w:rPr>
          <w:i/>
          <w:sz w:val="18"/>
          <w:szCs w:val="18"/>
        </w:rPr>
        <w:t>Teleophthalmology: Improving Patient Outcomes</w:t>
      </w:r>
      <w:proofErr w:type="gramStart"/>
      <w:r w:rsidRPr="003033F2">
        <w:rPr>
          <w:i/>
          <w:sz w:val="18"/>
          <w:szCs w:val="18"/>
        </w:rPr>
        <w:t>?</w:t>
      </w:r>
      <w:r w:rsidRPr="003033F2">
        <w:rPr>
          <w:sz w:val="18"/>
          <w:szCs w:val="18"/>
        </w:rPr>
        <w:t>,</w:t>
      </w:r>
      <w:proofErr w:type="gramEnd"/>
      <w:r w:rsidRPr="003033F2">
        <w:rPr>
          <w:sz w:val="18"/>
          <w:szCs w:val="18"/>
        </w:rPr>
        <w:t xml:space="preserve"> Clinical Ophthalmology 2016, 10: 285-295, </w:t>
      </w:r>
      <w:hyperlink r:id="rId15" w:history="1">
        <w:r w:rsidRPr="003033F2">
          <w:rPr>
            <w:rStyle w:val="Hyperlink"/>
            <w:color w:val="004B8D" w:themeColor="accent1"/>
            <w:sz w:val="18"/>
            <w:szCs w:val="18"/>
          </w:rPr>
          <w:t>https://www.ncbi.nlm.nih.gov/pmc/articles/PMC4755429/</w:t>
        </w:r>
      </w:hyperlink>
      <w:r w:rsidRPr="003033F2">
        <w:rPr>
          <w:sz w:val="18"/>
          <w:szCs w:val="18"/>
        </w:rPr>
        <w:t>.</w:t>
      </w:r>
    </w:p>
    <w:p w14:paraId="5EC401F6" w14:textId="77777777" w:rsidR="005335B1" w:rsidRPr="003033F2" w:rsidRDefault="005335B1" w:rsidP="00DF74A2">
      <w:pPr>
        <w:pStyle w:val="FootnoteText"/>
        <w:rPr>
          <w:i/>
          <w:sz w:val="18"/>
          <w:szCs w:val="18"/>
        </w:rPr>
      </w:pPr>
      <w:r w:rsidRPr="003033F2">
        <w:rPr>
          <w:i/>
          <w:sz w:val="18"/>
          <w:szCs w:val="18"/>
        </w:rPr>
        <w:t xml:space="preserve"> </w:t>
      </w:r>
    </w:p>
  </w:footnote>
  <w:footnote w:id="19">
    <w:p w14:paraId="208C2E95"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w:t>
      </w:r>
      <w:proofErr w:type="spellStart"/>
      <w:r w:rsidRPr="003033F2">
        <w:rPr>
          <w:sz w:val="18"/>
          <w:szCs w:val="18"/>
        </w:rPr>
        <w:t>Prathiba</w:t>
      </w:r>
      <w:proofErr w:type="spellEnd"/>
      <w:r w:rsidRPr="003033F2">
        <w:rPr>
          <w:sz w:val="18"/>
          <w:szCs w:val="18"/>
        </w:rPr>
        <w:t xml:space="preserve">, V and </w:t>
      </w:r>
      <w:proofErr w:type="spellStart"/>
      <w:r w:rsidRPr="003033F2">
        <w:rPr>
          <w:sz w:val="18"/>
          <w:szCs w:val="18"/>
        </w:rPr>
        <w:t>Rema</w:t>
      </w:r>
      <w:proofErr w:type="spellEnd"/>
      <w:r w:rsidRPr="003033F2">
        <w:rPr>
          <w:sz w:val="18"/>
          <w:szCs w:val="18"/>
        </w:rPr>
        <w:t xml:space="preserve">, M, </w:t>
      </w:r>
      <w:r w:rsidRPr="003033F2">
        <w:rPr>
          <w:i/>
          <w:sz w:val="18"/>
          <w:szCs w:val="18"/>
        </w:rPr>
        <w:t xml:space="preserve">Teleophthalmology: A Model for Eye Care Delivery in Rural and Underserved Areas of India, </w:t>
      </w:r>
      <w:r w:rsidRPr="003033F2">
        <w:rPr>
          <w:sz w:val="18"/>
          <w:szCs w:val="18"/>
        </w:rPr>
        <w:t xml:space="preserve">International Journal of Family Medicine 2011, </w:t>
      </w:r>
      <w:hyperlink r:id="rId16" w:history="1">
        <w:r w:rsidRPr="003033F2">
          <w:rPr>
            <w:rStyle w:val="Hyperlink"/>
            <w:color w:val="004B8D" w:themeColor="accent1"/>
            <w:sz w:val="18"/>
            <w:szCs w:val="18"/>
          </w:rPr>
          <w:t>https://www.hindawi.com/journals/ijfm/2011/683267/</w:t>
        </w:r>
      </w:hyperlink>
      <w:r w:rsidRPr="003033F2">
        <w:rPr>
          <w:sz w:val="18"/>
          <w:szCs w:val="18"/>
        </w:rPr>
        <w:t>.</w:t>
      </w:r>
    </w:p>
    <w:p w14:paraId="3CE3D967" w14:textId="77777777" w:rsidR="005335B1" w:rsidRPr="003033F2" w:rsidRDefault="005335B1" w:rsidP="00DF74A2">
      <w:pPr>
        <w:pStyle w:val="FootnoteText"/>
        <w:rPr>
          <w:sz w:val="18"/>
          <w:szCs w:val="18"/>
        </w:rPr>
      </w:pPr>
    </w:p>
  </w:footnote>
  <w:footnote w:id="20">
    <w:p w14:paraId="0C182501"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Vision 2020 Australia, Diabetes Australia, Centre for Eye Research Australia, </w:t>
      </w:r>
      <w:r w:rsidRPr="003033F2">
        <w:rPr>
          <w:i/>
          <w:sz w:val="18"/>
          <w:szCs w:val="18"/>
        </w:rPr>
        <w:t>The Case for an Australian Diabetes Blindness Prevention Initiative</w:t>
      </w:r>
      <w:r w:rsidRPr="003033F2">
        <w:rPr>
          <w:sz w:val="18"/>
          <w:szCs w:val="18"/>
        </w:rPr>
        <w:t xml:space="preserve"> 2017, </w:t>
      </w:r>
      <w:hyperlink r:id="rId17" w:history="1">
        <w:r w:rsidRPr="003033F2">
          <w:rPr>
            <w:rStyle w:val="Hyperlink"/>
            <w:color w:val="004B8D" w:themeColor="accent1"/>
            <w:sz w:val="18"/>
            <w:szCs w:val="18"/>
          </w:rPr>
          <w:t>https://static.diabetesaustralia.com.au/s/fileassets/diabetes-australia/0b771704-2c02-4211-8cf6-b15982da01bb.pdf</w:t>
        </w:r>
      </w:hyperlink>
      <w:r w:rsidRPr="003033F2">
        <w:rPr>
          <w:sz w:val="18"/>
          <w:szCs w:val="18"/>
        </w:rPr>
        <w:t>.</w:t>
      </w:r>
    </w:p>
    <w:p w14:paraId="15505003" w14:textId="77777777" w:rsidR="005335B1" w:rsidRPr="003033F2" w:rsidRDefault="005335B1" w:rsidP="00DF74A2">
      <w:pPr>
        <w:pStyle w:val="FootnoteText"/>
        <w:rPr>
          <w:sz w:val="18"/>
          <w:szCs w:val="18"/>
        </w:rPr>
      </w:pPr>
    </w:p>
  </w:footnote>
  <w:footnote w:id="21">
    <w:p w14:paraId="451A42DB"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Centre for Eye Research Australia, </w:t>
      </w:r>
      <w:r w:rsidRPr="003033F2">
        <w:rPr>
          <w:i/>
          <w:sz w:val="18"/>
          <w:szCs w:val="18"/>
        </w:rPr>
        <w:t>Artificial-Intelligence Based Eye Screening to Prevent Blindness in Remote Low-Resource Settings</w:t>
      </w:r>
      <w:r w:rsidRPr="003033F2">
        <w:rPr>
          <w:sz w:val="18"/>
          <w:szCs w:val="18"/>
        </w:rPr>
        <w:t xml:space="preserve"> 2017, </w:t>
      </w:r>
      <w:hyperlink r:id="rId18" w:history="1">
        <w:r w:rsidRPr="003033F2">
          <w:rPr>
            <w:rStyle w:val="Hyperlink"/>
            <w:color w:val="004B8D" w:themeColor="accent1"/>
            <w:sz w:val="18"/>
            <w:szCs w:val="18"/>
          </w:rPr>
          <w:t>https://vimeo.com/213961450/f9e15f08ae</w:t>
        </w:r>
      </w:hyperlink>
      <w:r w:rsidRPr="003033F2">
        <w:rPr>
          <w:sz w:val="18"/>
          <w:szCs w:val="18"/>
        </w:rPr>
        <w:t>.</w:t>
      </w:r>
    </w:p>
    <w:p w14:paraId="1B839524" w14:textId="77777777" w:rsidR="005335B1" w:rsidRPr="003033F2" w:rsidRDefault="005335B1" w:rsidP="00DF74A2">
      <w:pPr>
        <w:pStyle w:val="FootnoteText"/>
        <w:rPr>
          <w:sz w:val="18"/>
          <w:szCs w:val="18"/>
        </w:rPr>
      </w:pPr>
    </w:p>
  </w:footnote>
  <w:footnote w:id="22">
    <w:p w14:paraId="21FD47CB"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Op. Cit. Centre for Eye Research Australia, 2017.</w:t>
      </w:r>
    </w:p>
    <w:p w14:paraId="0CB7F5B0" w14:textId="77777777" w:rsidR="005335B1" w:rsidRDefault="005335B1" w:rsidP="00DF74A2">
      <w:pPr>
        <w:pStyle w:val="FootnoteText"/>
      </w:pPr>
    </w:p>
  </w:footnote>
  <w:footnote w:id="23">
    <w:p w14:paraId="765845BC"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w:t>
      </w:r>
      <w:proofErr w:type="spellStart"/>
      <w:r w:rsidRPr="003033F2">
        <w:rPr>
          <w:sz w:val="18"/>
          <w:szCs w:val="18"/>
        </w:rPr>
        <w:t>Guo</w:t>
      </w:r>
      <w:proofErr w:type="spellEnd"/>
      <w:r w:rsidRPr="003033F2">
        <w:rPr>
          <w:sz w:val="18"/>
          <w:szCs w:val="18"/>
        </w:rPr>
        <w:t xml:space="preserve">, L, Yang, J, Mai, J, </w:t>
      </w:r>
      <w:proofErr w:type="spellStart"/>
      <w:r w:rsidRPr="003033F2">
        <w:rPr>
          <w:sz w:val="18"/>
          <w:szCs w:val="18"/>
        </w:rPr>
        <w:t>Guo</w:t>
      </w:r>
      <w:proofErr w:type="spellEnd"/>
      <w:r w:rsidRPr="003033F2">
        <w:rPr>
          <w:sz w:val="18"/>
          <w:szCs w:val="18"/>
        </w:rPr>
        <w:t xml:space="preserve">, Y, Li, P, Yue, Y, Tang, D, Lu, C and Zhang, W-H, </w:t>
      </w:r>
      <w:r w:rsidRPr="003033F2">
        <w:rPr>
          <w:i/>
          <w:sz w:val="18"/>
          <w:szCs w:val="18"/>
        </w:rPr>
        <w:t xml:space="preserve">Prevalence and Associated Factors of Myopia Among Primary and Middle School-Aged Students: A School-Based Study in Guangzhou, </w:t>
      </w:r>
      <w:r w:rsidRPr="003033F2">
        <w:rPr>
          <w:sz w:val="18"/>
          <w:szCs w:val="18"/>
        </w:rPr>
        <w:t xml:space="preserve">The Scientific Journal of The Royal College of Ophthalmology 2016, 30(6): 796-804, </w:t>
      </w:r>
      <w:hyperlink r:id="rId19" w:history="1">
        <w:r w:rsidRPr="003033F2">
          <w:rPr>
            <w:rStyle w:val="Hyperlink"/>
            <w:color w:val="004B8D" w:themeColor="accent1"/>
            <w:sz w:val="18"/>
            <w:szCs w:val="18"/>
          </w:rPr>
          <w:t>https://www.ncbi.nlm.nih.gov/pmc/articles/PMC4906452/</w:t>
        </w:r>
      </w:hyperlink>
      <w:r w:rsidRPr="003033F2">
        <w:rPr>
          <w:sz w:val="18"/>
          <w:szCs w:val="18"/>
          <w:lang w:val="en-US"/>
        </w:rPr>
        <w:t>.</w:t>
      </w:r>
    </w:p>
    <w:p w14:paraId="33782DB1" w14:textId="77777777" w:rsidR="005335B1" w:rsidRPr="003033F2" w:rsidRDefault="005335B1" w:rsidP="00DF74A2">
      <w:pPr>
        <w:pStyle w:val="FootnoteText"/>
        <w:rPr>
          <w:sz w:val="18"/>
          <w:szCs w:val="18"/>
        </w:rPr>
      </w:pPr>
    </w:p>
  </w:footnote>
  <w:footnote w:id="24">
    <w:p w14:paraId="247DA476"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Holden, B, Fricke, T, Wilson, D, Jong, M, Naidoo, K, </w:t>
      </w:r>
      <w:proofErr w:type="spellStart"/>
      <w:r w:rsidRPr="003033F2">
        <w:rPr>
          <w:sz w:val="18"/>
          <w:szCs w:val="18"/>
        </w:rPr>
        <w:t>Sankaridung</w:t>
      </w:r>
      <w:proofErr w:type="spellEnd"/>
      <w:r w:rsidRPr="003033F2">
        <w:rPr>
          <w:sz w:val="18"/>
          <w:szCs w:val="18"/>
        </w:rPr>
        <w:t xml:space="preserve">, P, Wong, T, </w:t>
      </w:r>
      <w:proofErr w:type="spellStart"/>
      <w:r w:rsidRPr="003033F2">
        <w:rPr>
          <w:sz w:val="18"/>
          <w:szCs w:val="18"/>
        </w:rPr>
        <w:t>Naduvilath</w:t>
      </w:r>
      <w:proofErr w:type="spellEnd"/>
      <w:r w:rsidRPr="003033F2">
        <w:rPr>
          <w:sz w:val="18"/>
          <w:szCs w:val="18"/>
        </w:rPr>
        <w:t xml:space="preserve">, T, </w:t>
      </w:r>
      <w:proofErr w:type="spellStart"/>
      <w:r w:rsidRPr="003033F2">
        <w:rPr>
          <w:sz w:val="18"/>
          <w:szCs w:val="18"/>
        </w:rPr>
        <w:t>Resnikoff</w:t>
      </w:r>
      <w:proofErr w:type="spellEnd"/>
      <w:r w:rsidRPr="003033F2">
        <w:rPr>
          <w:sz w:val="18"/>
          <w:szCs w:val="18"/>
        </w:rPr>
        <w:t xml:space="preserve">, S, </w:t>
      </w:r>
      <w:r w:rsidRPr="003033F2">
        <w:rPr>
          <w:i/>
          <w:sz w:val="18"/>
          <w:szCs w:val="18"/>
        </w:rPr>
        <w:t xml:space="preserve">Global Prevalence of Myopia and High Myopia and Temporal Trends from 2000 through 2050, </w:t>
      </w:r>
      <w:r w:rsidRPr="003033F2">
        <w:rPr>
          <w:sz w:val="18"/>
          <w:szCs w:val="18"/>
        </w:rPr>
        <w:t>American Academy of Ophthalmology</w:t>
      </w:r>
      <w:r w:rsidRPr="003033F2">
        <w:rPr>
          <w:i/>
          <w:sz w:val="18"/>
          <w:szCs w:val="18"/>
        </w:rPr>
        <w:t xml:space="preserve"> </w:t>
      </w:r>
      <w:r w:rsidRPr="003033F2">
        <w:rPr>
          <w:sz w:val="18"/>
          <w:szCs w:val="18"/>
        </w:rPr>
        <w:t xml:space="preserve">2016, 123(5): 1036-1042, </w:t>
      </w:r>
      <w:hyperlink r:id="rId20" w:history="1">
        <w:r w:rsidRPr="003033F2">
          <w:rPr>
            <w:rStyle w:val="Hyperlink"/>
            <w:color w:val="004B8D" w:themeColor="accent1"/>
            <w:sz w:val="18"/>
            <w:szCs w:val="18"/>
          </w:rPr>
          <w:t>https://www.ncbi.nlm.nih.gov/pubmed/26875007</w:t>
        </w:r>
      </w:hyperlink>
      <w:r w:rsidRPr="003033F2">
        <w:rPr>
          <w:sz w:val="18"/>
          <w:szCs w:val="18"/>
        </w:rPr>
        <w:t xml:space="preserve">. </w:t>
      </w:r>
    </w:p>
    <w:p w14:paraId="031B0F73" w14:textId="77777777" w:rsidR="005335B1" w:rsidRPr="003033F2" w:rsidRDefault="005335B1" w:rsidP="00DF74A2">
      <w:pPr>
        <w:pStyle w:val="FootnoteText"/>
        <w:rPr>
          <w:sz w:val="18"/>
          <w:szCs w:val="18"/>
        </w:rPr>
      </w:pPr>
    </w:p>
  </w:footnote>
  <w:footnote w:id="25">
    <w:p w14:paraId="402C5451" w14:textId="77777777" w:rsidR="005335B1" w:rsidRPr="003033F2" w:rsidRDefault="005335B1" w:rsidP="00DF74A2">
      <w:pPr>
        <w:pStyle w:val="FootnoteText"/>
        <w:rPr>
          <w:sz w:val="18"/>
          <w:szCs w:val="18"/>
        </w:rPr>
      </w:pPr>
      <w:r w:rsidRPr="003033F2">
        <w:rPr>
          <w:rStyle w:val="FootnoteReference"/>
          <w:sz w:val="18"/>
          <w:szCs w:val="18"/>
        </w:rPr>
        <w:footnoteRef/>
      </w:r>
      <w:r w:rsidRPr="003033F2">
        <w:rPr>
          <w:sz w:val="18"/>
          <w:szCs w:val="18"/>
        </w:rPr>
        <w:t xml:space="preserve"> WHO, </w:t>
      </w:r>
      <w:r w:rsidRPr="003033F2">
        <w:rPr>
          <w:i/>
          <w:sz w:val="18"/>
          <w:szCs w:val="18"/>
        </w:rPr>
        <w:t>Non-communicable Diseases in the Pacific</w:t>
      </w:r>
      <w:r w:rsidRPr="003033F2">
        <w:rPr>
          <w:sz w:val="18"/>
          <w:szCs w:val="18"/>
        </w:rPr>
        <w:t xml:space="preserve">, Division of Pacific Technical Support 2018, </w:t>
      </w:r>
      <w:hyperlink r:id="rId21" w:history="1">
        <w:r w:rsidRPr="003033F2">
          <w:rPr>
            <w:rStyle w:val="Hyperlink"/>
            <w:color w:val="004B8D" w:themeColor="accent1"/>
            <w:sz w:val="18"/>
            <w:szCs w:val="18"/>
          </w:rPr>
          <w:t>http://www.wpro.who.int/southpacific/programmes/healthy_communities/noncommunicable_diseases/page/en/</w:t>
        </w:r>
      </w:hyperlink>
      <w:r w:rsidRPr="003033F2">
        <w:rPr>
          <w:sz w:val="18"/>
          <w:szCs w:val="18"/>
        </w:rPr>
        <w:t>.</w:t>
      </w:r>
    </w:p>
    <w:p w14:paraId="7FAB8157" w14:textId="77777777" w:rsidR="005335B1" w:rsidRDefault="005335B1" w:rsidP="00DF74A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37D9F" w14:textId="77777777" w:rsidR="005335B1" w:rsidRPr="009A1E0A" w:rsidRDefault="005335B1" w:rsidP="009A1E0A">
    <w:pPr>
      <w:pStyle w:val="Header"/>
    </w:pPr>
    <w:r>
      <w:rPr>
        <w:noProof/>
        <w:lang w:eastAsia="en-AU"/>
      </w:rPr>
      <w:drawing>
        <wp:anchor distT="0" distB="0" distL="114300" distR="114300" simplePos="0" relativeHeight="251659264" behindDoc="1" locked="0" layoutInCell="1" allowOverlap="1" wp14:anchorId="5F669448" wp14:editId="7D537900">
          <wp:simplePos x="716890" y="234086"/>
          <wp:positionH relativeFrom="page">
            <wp:align>center</wp:align>
          </wp:positionH>
          <wp:positionV relativeFrom="page">
            <wp:posOffset>223520</wp:posOffset>
          </wp:positionV>
          <wp:extent cx="6980214" cy="10260000"/>
          <wp:effectExtent l="0" t="0" r="0" b="8255"/>
          <wp:wrapNone/>
          <wp:docPr id="353" name="Picture 353" descr="Inclusive Eye Health and Vision Care as a Soft Power Asset - September 2018" title="DFAT Soft Pow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6980214"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B0D96" w14:textId="77777777" w:rsidR="005335B1" w:rsidRDefault="005335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54E26E3"/>
    <w:multiLevelType w:val="multilevel"/>
    <w:tmpl w:val="624681D2"/>
    <w:numStyleLink w:val="ListTableBullet"/>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24741D40"/>
    <w:multiLevelType w:val="multilevel"/>
    <w:tmpl w:val="80E2ECFC"/>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5"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6" w15:restartNumberingAfterBreak="0">
    <w:nsid w:val="366E6290"/>
    <w:multiLevelType w:val="multilevel"/>
    <w:tmpl w:val="BDFC207A"/>
    <w:numStyleLink w:val="ListTableNumber"/>
  </w:abstractNum>
  <w:abstractNum w:abstractNumId="7"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8" w15:restartNumberingAfterBreak="0">
    <w:nsid w:val="4EE90380"/>
    <w:multiLevelType w:val="multilevel"/>
    <w:tmpl w:val="93023612"/>
    <w:numStyleLink w:val="ListBullet"/>
  </w:abstractNum>
  <w:abstractNum w:abstractNumId="9" w15:restartNumberingAfterBreak="0">
    <w:nsid w:val="5B713DD2"/>
    <w:multiLevelType w:val="multilevel"/>
    <w:tmpl w:val="624681D2"/>
    <w:numStyleLink w:val="ListTableBullet"/>
  </w:abstractNum>
  <w:abstractNum w:abstractNumId="10"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1" w15:restartNumberingAfterBreak="0">
    <w:nsid w:val="7139706E"/>
    <w:multiLevelType w:val="multilevel"/>
    <w:tmpl w:val="11C64328"/>
    <w:numStyleLink w:val="ListParagraph"/>
  </w:abstractNum>
  <w:abstractNum w:abstractNumId="12" w15:restartNumberingAfterBreak="0">
    <w:nsid w:val="76CA03E1"/>
    <w:multiLevelType w:val="multilevel"/>
    <w:tmpl w:val="9D625AA6"/>
    <w:numStyleLink w:val="ListNumberedHeadings"/>
  </w:abstractNum>
  <w:abstractNum w:abstractNumId="13"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13"/>
  </w:num>
  <w:num w:numId="3">
    <w:abstractNumId w:val="4"/>
    <w:lvlOverride w:ilvl="0">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Override>
    <w:lvlOverride w:ilvl="2">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Override>
    <w:lvlOverride w:ilvl="3">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Override>
    <w:lvlOverride w:ilvl="4">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Override>
    <w:lvlOverride w:ilvl="5">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Override>
    <w:lvlOverride w:ilvl="6">
      <w:lvl w:ilvl="6">
        <w:start w:val="1"/>
        <w:numFmt w:val="none"/>
        <w:suff w:val="nothing"/>
        <w:lvlText w:val="%7"/>
        <w:lvlJc w:val="left"/>
        <w:pPr>
          <w:ind w:left="2975" w:hanging="425"/>
        </w:pPr>
        <w:rPr>
          <w:rFonts w:hint="default"/>
          <w:color w:val="E1001A"/>
        </w:rPr>
      </w:lvl>
    </w:lvlOverride>
    <w:lvlOverride w:ilvl="7">
      <w:lvl w:ilvl="7">
        <w:start w:val="1"/>
        <w:numFmt w:val="none"/>
        <w:suff w:val="nothing"/>
        <w:lvlText w:val="%8"/>
        <w:lvlJc w:val="left"/>
        <w:pPr>
          <w:ind w:left="3400" w:hanging="425"/>
        </w:pPr>
        <w:rPr>
          <w:rFonts w:hint="default"/>
          <w:color w:val="E1001A"/>
          <w:sz w:val="20"/>
        </w:rPr>
      </w:lvl>
    </w:lvlOverride>
    <w:lvlOverride w:ilvl="8">
      <w:lvl w:ilvl="8">
        <w:start w:val="1"/>
        <w:numFmt w:val="none"/>
        <w:suff w:val="nothing"/>
        <w:lvlText w:val="%9"/>
        <w:lvlJc w:val="left"/>
        <w:pPr>
          <w:ind w:left="3825" w:hanging="425"/>
        </w:pPr>
        <w:rPr>
          <w:rFonts w:hint="default"/>
          <w:color w:val="E1001A"/>
        </w:rPr>
      </w:lvl>
    </w:lvlOverride>
  </w:num>
  <w:num w:numId="4">
    <w:abstractNumId w:val="7"/>
  </w:num>
  <w:num w:numId="5">
    <w:abstractNumId w:val="0"/>
  </w:num>
  <w:num w:numId="6">
    <w:abstractNumId w:val="3"/>
  </w:num>
  <w:num w:numId="7">
    <w:abstractNumId w:val="10"/>
  </w:num>
  <w:num w:numId="8">
    <w:abstractNumId w:val="11"/>
  </w:num>
  <w:num w:numId="9">
    <w:abstractNumId w:val="12"/>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1"/>
  </w:num>
  <w:num w:numId="11">
    <w:abstractNumId w:val="6"/>
  </w:num>
  <w:num w:numId="12">
    <w:abstractNumId w:val="2"/>
  </w:num>
  <w:num w:numId="13">
    <w:abstractNumId w:val="4"/>
  </w:num>
  <w:num w:numId="14">
    <w:abstractNumId w:val="5"/>
  </w:num>
  <w:num w:numId="15">
    <w:abstractNumId w:val="8"/>
  </w:num>
  <w:num w:numId="16">
    <w:abstractNumId w:val="8"/>
  </w:num>
  <w:num w:numId="17">
    <w:abstractNumId w:val="8"/>
  </w:num>
  <w:num w:numId="18">
    <w:abstractNumId w:val="8"/>
  </w:num>
  <w:num w:numId="19">
    <w:abstractNumId w:val="8"/>
  </w:num>
  <w:num w:numId="20">
    <w:abstractNumId w:val="8"/>
  </w:num>
  <w:num w:numId="21">
    <w:abstractNumId w:val="5"/>
  </w:num>
  <w:num w:numId="22">
    <w:abstractNumId w:val="3"/>
  </w:num>
  <w:num w:numId="23">
    <w:abstractNumId w:val="9"/>
  </w:num>
  <w:num w:numId="24">
    <w:abstractNumId w:val="9"/>
  </w:num>
  <w:num w:numId="25">
    <w:abstractNumId w:val="4"/>
    <w:lvlOverride w:ilvl="0">
      <w:startOverride w:val="1"/>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startOverride w:val="1"/>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Override>
    <w:lvlOverride w:ilvl="2">
      <w:startOverride w:val="1"/>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Override>
    <w:lvlOverride w:ilvl="3">
      <w:startOverride w:val="1"/>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Override>
    <w:lvlOverride w:ilvl="4">
      <w:startOverride w:val="1"/>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Override>
    <w:lvlOverride w:ilvl="5">
      <w:startOverride w:val="1"/>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Override>
    <w:lvlOverride w:ilvl="6">
      <w:startOverride w:val="1"/>
      <w:lvl w:ilvl="6">
        <w:start w:val="1"/>
        <w:numFmt w:val="none"/>
        <w:suff w:val="nothing"/>
        <w:lvlText w:val="%7"/>
        <w:lvlJc w:val="left"/>
        <w:pPr>
          <w:ind w:left="2975" w:hanging="425"/>
        </w:pPr>
        <w:rPr>
          <w:rFonts w:hint="default"/>
          <w:color w:val="E1001A"/>
        </w:rPr>
      </w:lvl>
    </w:lvlOverride>
    <w:lvlOverride w:ilvl="7">
      <w:startOverride w:val="1"/>
      <w:lvl w:ilvl="7">
        <w:start w:val="1"/>
        <w:numFmt w:val="none"/>
        <w:suff w:val="nothing"/>
        <w:lvlText w:val="%8"/>
        <w:lvlJc w:val="left"/>
        <w:pPr>
          <w:ind w:left="3400" w:hanging="425"/>
        </w:pPr>
        <w:rPr>
          <w:rFonts w:hint="default"/>
          <w:color w:val="E1001A"/>
          <w:sz w:val="20"/>
        </w:rPr>
      </w:lvl>
    </w:lvlOverride>
    <w:lvlOverride w:ilvl="8">
      <w:startOverride w:val="1"/>
      <w:lvl w:ilvl="8">
        <w:start w:val="1"/>
        <w:numFmt w:val="none"/>
        <w:suff w:val="nothing"/>
        <w:lvlText w:val="%9"/>
        <w:lvlJc w:val="left"/>
        <w:pPr>
          <w:ind w:left="3825" w:hanging="425"/>
        </w:pPr>
        <w:rPr>
          <w:rFonts w:hint="default"/>
          <w:color w:val="E1001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628"/>
    <w:rsid w:val="00006100"/>
    <w:rsid w:val="00022211"/>
    <w:rsid w:val="000243DD"/>
    <w:rsid w:val="000358CA"/>
    <w:rsid w:val="000427B8"/>
    <w:rsid w:val="00071C7D"/>
    <w:rsid w:val="00076F97"/>
    <w:rsid w:val="000870BB"/>
    <w:rsid w:val="00087D93"/>
    <w:rsid w:val="00095F2D"/>
    <w:rsid w:val="000A0FBF"/>
    <w:rsid w:val="000B3EBE"/>
    <w:rsid w:val="000B6FA1"/>
    <w:rsid w:val="000C0C22"/>
    <w:rsid w:val="000C1D1E"/>
    <w:rsid w:val="000C5684"/>
    <w:rsid w:val="000F4A35"/>
    <w:rsid w:val="001063C6"/>
    <w:rsid w:val="00124857"/>
    <w:rsid w:val="0013218E"/>
    <w:rsid w:val="00145CCD"/>
    <w:rsid w:val="001505D8"/>
    <w:rsid w:val="00154790"/>
    <w:rsid w:val="00156423"/>
    <w:rsid w:val="001600E5"/>
    <w:rsid w:val="001829A7"/>
    <w:rsid w:val="00185154"/>
    <w:rsid w:val="00186E49"/>
    <w:rsid w:val="0019114D"/>
    <w:rsid w:val="001A642C"/>
    <w:rsid w:val="001C2183"/>
    <w:rsid w:val="001F16CA"/>
    <w:rsid w:val="002067FE"/>
    <w:rsid w:val="002078C1"/>
    <w:rsid w:val="002106C4"/>
    <w:rsid w:val="00210DEF"/>
    <w:rsid w:val="00222215"/>
    <w:rsid w:val="0025119D"/>
    <w:rsid w:val="00252201"/>
    <w:rsid w:val="00254DD8"/>
    <w:rsid w:val="00254E82"/>
    <w:rsid w:val="002650D5"/>
    <w:rsid w:val="00271ECA"/>
    <w:rsid w:val="0027779A"/>
    <w:rsid w:val="00293002"/>
    <w:rsid w:val="002930CC"/>
    <w:rsid w:val="002A590E"/>
    <w:rsid w:val="002B4003"/>
    <w:rsid w:val="002C5B1C"/>
    <w:rsid w:val="002D4254"/>
    <w:rsid w:val="002D4A4F"/>
    <w:rsid w:val="002D4E6E"/>
    <w:rsid w:val="002F2F7A"/>
    <w:rsid w:val="002F4862"/>
    <w:rsid w:val="00301893"/>
    <w:rsid w:val="003033F2"/>
    <w:rsid w:val="00303628"/>
    <w:rsid w:val="00307688"/>
    <w:rsid w:val="00326314"/>
    <w:rsid w:val="003411DD"/>
    <w:rsid w:val="003559C5"/>
    <w:rsid w:val="0037398C"/>
    <w:rsid w:val="0037618F"/>
    <w:rsid w:val="003853C1"/>
    <w:rsid w:val="003A04C1"/>
    <w:rsid w:val="003A08A5"/>
    <w:rsid w:val="003B0945"/>
    <w:rsid w:val="003B097F"/>
    <w:rsid w:val="003B126F"/>
    <w:rsid w:val="003B4DCF"/>
    <w:rsid w:val="003D3B71"/>
    <w:rsid w:val="003D56AF"/>
    <w:rsid w:val="003D6D1C"/>
    <w:rsid w:val="003E1EF3"/>
    <w:rsid w:val="003E269E"/>
    <w:rsid w:val="003E2E43"/>
    <w:rsid w:val="003E5319"/>
    <w:rsid w:val="00404615"/>
    <w:rsid w:val="00407776"/>
    <w:rsid w:val="004254BC"/>
    <w:rsid w:val="00427353"/>
    <w:rsid w:val="0043564D"/>
    <w:rsid w:val="0043628A"/>
    <w:rsid w:val="00444AE6"/>
    <w:rsid w:val="004478FD"/>
    <w:rsid w:val="004700B3"/>
    <w:rsid w:val="004846EB"/>
    <w:rsid w:val="00491C59"/>
    <w:rsid w:val="004B6A7F"/>
    <w:rsid w:val="004B7DAE"/>
    <w:rsid w:val="004E79A4"/>
    <w:rsid w:val="004F2A3C"/>
    <w:rsid w:val="004F3D6F"/>
    <w:rsid w:val="00505FDE"/>
    <w:rsid w:val="0051056D"/>
    <w:rsid w:val="00515B9F"/>
    <w:rsid w:val="005331C9"/>
    <w:rsid w:val="005335B1"/>
    <w:rsid w:val="005362EE"/>
    <w:rsid w:val="0055219D"/>
    <w:rsid w:val="0055353F"/>
    <w:rsid w:val="00557EF4"/>
    <w:rsid w:val="0056633F"/>
    <w:rsid w:val="005713E5"/>
    <w:rsid w:val="00595254"/>
    <w:rsid w:val="005A435A"/>
    <w:rsid w:val="005B0C40"/>
    <w:rsid w:val="005D15BB"/>
    <w:rsid w:val="005D620B"/>
    <w:rsid w:val="005E259B"/>
    <w:rsid w:val="006025ED"/>
    <w:rsid w:val="00605174"/>
    <w:rsid w:val="0061089F"/>
    <w:rsid w:val="006262B0"/>
    <w:rsid w:val="00630061"/>
    <w:rsid w:val="00633235"/>
    <w:rsid w:val="006366A1"/>
    <w:rsid w:val="0065325A"/>
    <w:rsid w:val="00674316"/>
    <w:rsid w:val="006759F6"/>
    <w:rsid w:val="00684E74"/>
    <w:rsid w:val="00697C48"/>
    <w:rsid w:val="006A1801"/>
    <w:rsid w:val="006A3923"/>
    <w:rsid w:val="006D22C5"/>
    <w:rsid w:val="006F7CD9"/>
    <w:rsid w:val="00706376"/>
    <w:rsid w:val="00757A95"/>
    <w:rsid w:val="00763421"/>
    <w:rsid w:val="00770BF1"/>
    <w:rsid w:val="00774E81"/>
    <w:rsid w:val="007A5346"/>
    <w:rsid w:val="007B09F1"/>
    <w:rsid w:val="007B1B14"/>
    <w:rsid w:val="007C69D6"/>
    <w:rsid w:val="007E4807"/>
    <w:rsid w:val="007F3BDD"/>
    <w:rsid w:val="007F5C62"/>
    <w:rsid w:val="007F5CED"/>
    <w:rsid w:val="00813A0B"/>
    <w:rsid w:val="00817D6F"/>
    <w:rsid w:val="00822503"/>
    <w:rsid w:val="00834AA8"/>
    <w:rsid w:val="00842156"/>
    <w:rsid w:val="00845732"/>
    <w:rsid w:val="008572D9"/>
    <w:rsid w:val="00857C22"/>
    <w:rsid w:val="00861E13"/>
    <w:rsid w:val="00883392"/>
    <w:rsid w:val="00892496"/>
    <w:rsid w:val="008A1E5D"/>
    <w:rsid w:val="008A2D8D"/>
    <w:rsid w:val="008A40B8"/>
    <w:rsid w:val="008A6F22"/>
    <w:rsid w:val="008B17B1"/>
    <w:rsid w:val="008B5D8F"/>
    <w:rsid w:val="008F4E0B"/>
    <w:rsid w:val="00907127"/>
    <w:rsid w:val="00907866"/>
    <w:rsid w:val="009453E1"/>
    <w:rsid w:val="0095655B"/>
    <w:rsid w:val="009571D7"/>
    <w:rsid w:val="009A199C"/>
    <w:rsid w:val="009A1E0A"/>
    <w:rsid w:val="009C0F73"/>
    <w:rsid w:val="009C3D42"/>
    <w:rsid w:val="009C5027"/>
    <w:rsid w:val="009C7DC2"/>
    <w:rsid w:val="009D0FE7"/>
    <w:rsid w:val="009E3BCF"/>
    <w:rsid w:val="009E59CD"/>
    <w:rsid w:val="009F145B"/>
    <w:rsid w:val="009F6CE7"/>
    <w:rsid w:val="00A07960"/>
    <w:rsid w:val="00A21DD2"/>
    <w:rsid w:val="00A41250"/>
    <w:rsid w:val="00A41D4E"/>
    <w:rsid w:val="00A52A8F"/>
    <w:rsid w:val="00A63844"/>
    <w:rsid w:val="00A640FF"/>
    <w:rsid w:val="00A809E3"/>
    <w:rsid w:val="00A83B38"/>
    <w:rsid w:val="00A9139E"/>
    <w:rsid w:val="00AA462D"/>
    <w:rsid w:val="00AA6010"/>
    <w:rsid w:val="00AA6C94"/>
    <w:rsid w:val="00AA7024"/>
    <w:rsid w:val="00AD1E20"/>
    <w:rsid w:val="00AD6EC2"/>
    <w:rsid w:val="00AE4C26"/>
    <w:rsid w:val="00AF2204"/>
    <w:rsid w:val="00B012F3"/>
    <w:rsid w:val="00B1273F"/>
    <w:rsid w:val="00B172FD"/>
    <w:rsid w:val="00B4460F"/>
    <w:rsid w:val="00B53493"/>
    <w:rsid w:val="00B55D18"/>
    <w:rsid w:val="00B56CC8"/>
    <w:rsid w:val="00B65281"/>
    <w:rsid w:val="00B668FB"/>
    <w:rsid w:val="00B76B8E"/>
    <w:rsid w:val="00B8347A"/>
    <w:rsid w:val="00BA15D7"/>
    <w:rsid w:val="00BA45AE"/>
    <w:rsid w:val="00BA4F4A"/>
    <w:rsid w:val="00BA52A9"/>
    <w:rsid w:val="00BA66AD"/>
    <w:rsid w:val="00BB49AA"/>
    <w:rsid w:val="00BB6906"/>
    <w:rsid w:val="00BC2DD3"/>
    <w:rsid w:val="00BC54E0"/>
    <w:rsid w:val="00BC67B1"/>
    <w:rsid w:val="00BD7CF3"/>
    <w:rsid w:val="00BE16D4"/>
    <w:rsid w:val="00BE6C6E"/>
    <w:rsid w:val="00BF15C1"/>
    <w:rsid w:val="00BF2C53"/>
    <w:rsid w:val="00C000C3"/>
    <w:rsid w:val="00C02E60"/>
    <w:rsid w:val="00C10095"/>
    <w:rsid w:val="00C240FD"/>
    <w:rsid w:val="00C24374"/>
    <w:rsid w:val="00C302EF"/>
    <w:rsid w:val="00C74C53"/>
    <w:rsid w:val="00C755C0"/>
    <w:rsid w:val="00C97431"/>
    <w:rsid w:val="00C97524"/>
    <w:rsid w:val="00CD7CBE"/>
    <w:rsid w:val="00D241D3"/>
    <w:rsid w:val="00D24EC3"/>
    <w:rsid w:val="00D253E1"/>
    <w:rsid w:val="00D27FA8"/>
    <w:rsid w:val="00D365D3"/>
    <w:rsid w:val="00D42F7B"/>
    <w:rsid w:val="00D46484"/>
    <w:rsid w:val="00D55089"/>
    <w:rsid w:val="00D65684"/>
    <w:rsid w:val="00D65E0E"/>
    <w:rsid w:val="00D674DC"/>
    <w:rsid w:val="00DA76FA"/>
    <w:rsid w:val="00DB2B49"/>
    <w:rsid w:val="00DC28FE"/>
    <w:rsid w:val="00DC290C"/>
    <w:rsid w:val="00DC33B4"/>
    <w:rsid w:val="00DC788B"/>
    <w:rsid w:val="00DD4656"/>
    <w:rsid w:val="00DD7C00"/>
    <w:rsid w:val="00DF01DF"/>
    <w:rsid w:val="00DF74A2"/>
    <w:rsid w:val="00E018FB"/>
    <w:rsid w:val="00E036DC"/>
    <w:rsid w:val="00E12009"/>
    <w:rsid w:val="00E135C8"/>
    <w:rsid w:val="00E21DC0"/>
    <w:rsid w:val="00E323B3"/>
    <w:rsid w:val="00E4248F"/>
    <w:rsid w:val="00E63C49"/>
    <w:rsid w:val="00E6763B"/>
    <w:rsid w:val="00E70E01"/>
    <w:rsid w:val="00E82070"/>
    <w:rsid w:val="00E85F87"/>
    <w:rsid w:val="00EB06F5"/>
    <w:rsid w:val="00EB58BD"/>
    <w:rsid w:val="00EB6D30"/>
    <w:rsid w:val="00EC0FFC"/>
    <w:rsid w:val="00EC3CE8"/>
    <w:rsid w:val="00ED2E33"/>
    <w:rsid w:val="00ED3024"/>
    <w:rsid w:val="00ED71B6"/>
    <w:rsid w:val="00EE5474"/>
    <w:rsid w:val="00EF0E10"/>
    <w:rsid w:val="00EF2076"/>
    <w:rsid w:val="00EF2AFB"/>
    <w:rsid w:val="00EF521C"/>
    <w:rsid w:val="00F26EB5"/>
    <w:rsid w:val="00F33D5C"/>
    <w:rsid w:val="00F37458"/>
    <w:rsid w:val="00F431FB"/>
    <w:rsid w:val="00F44717"/>
    <w:rsid w:val="00F5010F"/>
    <w:rsid w:val="00F53ACB"/>
    <w:rsid w:val="00F60E46"/>
    <w:rsid w:val="00F6184E"/>
    <w:rsid w:val="00F8007E"/>
    <w:rsid w:val="00F81C8A"/>
    <w:rsid w:val="00F84805"/>
    <w:rsid w:val="00F85E41"/>
    <w:rsid w:val="00F872B8"/>
    <w:rsid w:val="00F95B80"/>
    <w:rsid w:val="00F978A9"/>
    <w:rsid w:val="00FA2B02"/>
    <w:rsid w:val="00FB1115"/>
    <w:rsid w:val="00FB4AE4"/>
    <w:rsid w:val="00FB5715"/>
    <w:rsid w:val="00FD5739"/>
    <w:rsid w:val="00FE0364"/>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F62953B"/>
  <w15:docId w15:val="{6F285A31-4F48-400D-80B6-3C9B8CC7C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10F"/>
    <w:pPr>
      <w:spacing w:before="0" w:after="0"/>
    </w:pPr>
  </w:style>
  <w:style w:type="paragraph" w:styleId="Heading1">
    <w:name w:val="heading 1"/>
    <w:basedOn w:val="Normal"/>
    <w:next w:val="BodyText"/>
    <w:link w:val="Heading1Char"/>
    <w:uiPriority w:val="9"/>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uiPriority w:val="9"/>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1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semiHidden/>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numbering" w:customStyle="1" w:styleId="ListNumber1">
    <w:name w:val="List_Number1"/>
    <w:uiPriority w:val="99"/>
    <w:rsid w:val="00DF74A2"/>
  </w:style>
  <w:style w:type="paragraph" w:styleId="FootnoteText">
    <w:name w:val="footnote text"/>
    <w:basedOn w:val="Normal"/>
    <w:link w:val="FootnoteTextChar"/>
    <w:semiHidden/>
    <w:unhideWhenUsed/>
    <w:rsid w:val="00DF74A2"/>
    <w:rPr>
      <w:sz w:val="20"/>
      <w:szCs w:val="20"/>
    </w:rPr>
  </w:style>
  <w:style w:type="character" w:customStyle="1" w:styleId="FootnoteTextChar">
    <w:name w:val="Footnote Text Char"/>
    <w:basedOn w:val="DefaultParagraphFont"/>
    <w:link w:val="FootnoteText"/>
    <w:semiHidden/>
    <w:rsid w:val="00DF74A2"/>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DF74A2"/>
    <w:rPr>
      <w:vertAlign w:val="superscript"/>
    </w:rPr>
  </w:style>
  <w:style w:type="character" w:styleId="CommentReference">
    <w:name w:val="annotation reference"/>
    <w:basedOn w:val="DefaultParagraphFont"/>
    <w:uiPriority w:val="99"/>
    <w:semiHidden/>
    <w:unhideWhenUsed/>
    <w:rsid w:val="00DF74A2"/>
    <w:rPr>
      <w:sz w:val="16"/>
      <w:szCs w:val="16"/>
    </w:rPr>
  </w:style>
  <w:style w:type="paragraph" w:styleId="CommentText">
    <w:name w:val="annotation text"/>
    <w:basedOn w:val="Normal"/>
    <w:link w:val="CommentTextChar"/>
    <w:uiPriority w:val="99"/>
    <w:semiHidden/>
    <w:unhideWhenUsed/>
    <w:rsid w:val="00DF74A2"/>
    <w:rPr>
      <w:sz w:val="20"/>
      <w:szCs w:val="20"/>
    </w:rPr>
  </w:style>
  <w:style w:type="character" w:customStyle="1" w:styleId="CommentTextChar">
    <w:name w:val="Comment Text Char"/>
    <w:basedOn w:val="DefaultParagraphFont"/>
    <w:link w:val="CommentText"/>
    <w:uiPriority w:val="99"/>
    <w:semiHidden/>
    <w:rsid w:val="00DF74A2"/>
    <w:rPr>
      <w:sz w:val="20"/>
      <w:szCs w:val="20"/>
    </w:rPr>
  </w:style>
  <w:style w:type="paragraph" w:styleId="CommentSubject">
    <w:name w:val="annotation subject"/>
    <w:basedOn w:val="CommentText"/>
    <w:next w:val="CommentText"/>
    <w:link w:val="CommentSubjectChar"/>
    <w:uiPriority w:val="99"/>
    <w:semiHidden/>
    <w:unhideWhenUsed/>
    <w:rsid w:val="001A642C"/>
    <w:rPr>
      <w:b/>
      <w:bCs/>
    </w:rPr>
  </w:style>
  <w:style w:type="character" w:customStyle="1" w:styleId="CommentSubjectChar">
    <w:name w:val="Comment Subject Char"/>
    <w:basedOn w:val="CommentTextChar"/>
    <w:link w:val="CommentSubject"/>
    <w:uiPriority w:val="99"/>
    <w:semiHidden/>
    <w:rsid w:val="001A64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vimeo.com/213961450/f9e15f08ae" TargetMode="External"/><Relationship Id="rId18" Type="http://schemas.openxmlformats.org/officeDocument/2006/relationships/hyperlink" Target="https://www.ncbi.nlm.nih.gov/pmc/articles/PMC4655323/" TargetMode="External"/><Relationship Id="rId26" Type="http://schemas.openxmlformats.org/officeDocument/2006/relationships/hyperlink" Target="https://cwur.org/2017/subjects.php" TargetMode="External"/><Relationship Id="rId3" Type="http://schemas.openxmlformats.org/officeDocument/2006/relationships/styles" Target="styles.xml"/><Relationship Id="rId21" Type="http://schemas.openxmlformats.org/officeDocument/2006/relationships/hyperlink" Target="https://www.iapb.org/wp-content/uploads/The-Australian-Governments-Avoidable-Blindness-Initiative_Vision-2020-Australia.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thelancet.com/journals/langlo/article/PIIS2214-109X(17)30293-0/fulltext" TargetMode="External"/><Relationship Id="rId17" Type="http://schemas.openxmlformats.org/officeDocument/2006/relationships/hyperlink" Target="https://www.ncbi.nlm.nih.gov/pmc/articles/PMC4906452/" TargetMode="External"/><Relationship Id="rId25" Type="http://schemas.openxmlformats.org/officeDocument/2006/relationships/hyperlink" Target="https://www.ncbi.nlm.nih.gov/pmc/articles/PMC4755429/"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thelancet.com/journals/langlo/article/PIIS2214-109X(17)30393-5/fulltext" TargetMode="External"/><Relationship Id="rId20" Type="http://schemas.openxmlformats.org/officeDocument/2006/relationships/hyperlink" Target="http://atlas.iapb.org/global-burden-vision-impairment/gbvi-regional-estimates-of-distance-vision-loss/" TargetMode="External"/><Relationship Id="rId29" Type="http://schemas.openxmlformats.org/officeDocument/2006/relationships/hyperlink" Target="https://static.diabetesaustralia.com.au/s/fileassets/diabetes-australia/0b771704-2c02-4211-8cf6-b15982da01bb.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sion2020australia.org.au/uploads/resource/242/EAVP-Combined-Completion-and-Year-Three-Annual-Report_submission_Report-and-annexes_Final_for-website.pdf" TargetMode="External"/><Relationship Id="rId24" Type="http://schemas.openxmlformats.org/officeDocument/2006/relationships/hyperlink" Target="https://www.hollows.org/getattachment/au/What-We-Do/Ending-Avoidable-blindness/Research/PwC-Investing-in-Vision.pdf.aspx"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health.gov.au/internet/main/publishing.nsf/content/e-health-telehealth" TargetMode="External"/><Relationship Id="rId23" Type="http://schemas.openxmlformats.org/officeDocument/2006/relationships/hyperlink" Target="https://www.hindawi.com/journals/ijfm/2011/683267/" TargetMode="External"/><Relationship Id="rId28" Type="http://schemas.openxmlformats.org/officeDocument/2006/relationships/hyperlink" Target="http://www.un.org/esa/ffd/ffd3/wp-content/uploads/sites/2/2015/07/Addis-Ababa-Action-Agenda-Draft-Outcome-Document-7-July-2015.pdf" TargetMode="External"/><Relationship Id="rId10" Type="http://schemas.openxmlformats.org/officeDocument/2006/relationships/image" Target="media/image2.jpeg"/><Relationship Id="rId19" Type="http://schemas.openxmlformats.org/officeDocument/2006/relationships/hyperlink" Target="https://www.ncbi.nlm.nih.gov/pubmed/26875007" TargetMode="External"/><Relationship Id="rId31" Type="http://schemas.openxmlformats.org/officeDocument/2006/relationships/hyperlink" Target="http://www.who.int/blindness/vision-report/e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pwhitepaper.gov.au/" TargetMode="External"/><Relationship Id="rId22" Type="http://schemas.openxmlformats.org/officeDocument/2006/relationships/hyperlink" Target="https://pacificaidmap.lowyinstitute.org/" TargetMode="External"/><Relationship Id="rId27" Type="http://schemas.openxmlformats.org/officeDocument/2006/relationships/hyperlink" Target="http://www.pacificeyeinstitute.org/" TargetMode="External"/><Relationship Id="rId30" Type="http://schemas.openxmlformats.org/officeDocument/2006/relationships/hyperlink" Target="http://www.wpro.who.int/southpacific/programmes/healthy_communities/noncommunicable_diseases/page/en/"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who.int/blindness/vision-report/en/" TargetMode="External"/><Relationship Id="rId13" Type="http://schemas.openxmlformats.org/officeDocument/2006/relationships/hyperlink" Target="https://cwur.org/2017/subjects.php" TargetMode="External"/><Relationship Id="rId18" Type="http://schemas.openxmlformats.org/officeDocument/2006/relationships/hyperlink" Target="https://vimeo.com/213961450/f9e15f08ae" TargetMode="External"/><Relationship Id="rId3" Type="http://schemas.openxmlformats.org/officeDocument/2006/relationships/hyperlink" Target="https://www.hollows.org/getattachment/au/What-We-Do/Ending-Avoidable-blindness/Research/PwC-Investing-in-Vision.pdf.aspx" TargetMode="External"/><Relationship Id="rId21" Type="http://schemas.openxmlformats.org/officeDocument/2006/relationships/hyperlink" Target="http://www.wpro.who.int/southpacific/programmes/healthy_communities/noncommunicable_diseases/page/en/" TargetMode="External"/><Relationship Id="rId7" Type="http://schemas.openxmlformats.org/officeDocument/2006/relationships/hyperlink" Target="https://pacificaidmap.lowyinstitute.org/" TargetMode="External"/><Relationship Id="rId12" Type="http://schemas.openxmlformats.org/officeDocument/2006/relationships/hyperlink" Target="https://www.thelancet.com/journals/langlo/article/PIIS2214-109X(17)30293-0/fulltext" TargetMode="External"/><Relationship Id="rId17" Type="http://schemas.openxmlformats.org/officeDocument/2006/relationships/hyperlink" Target="https://static.diabetesaustralia.com.au/s/fileassets/diabetes-australia/0b771704-2c02-4211-8cf6-b15982da01bb.pdf" TargetMode="External"/><Relationship Id="rId2" Type="http://schemas.openxmlformats.org/officeDocument/2006/relationships/hyperlink" Target="http://atlas.iapb.org/global-burden-vision-impairment/gbvi-regional-estimates-of-distance-vision-loss/" TargetMode="External"/><Relationship Id="rId16" Type="http://schemas.openxmlformats.org/officeDocument/2006/relationships/hyperlink" Target="https://www.hindawi.com/journals/ijfm/2011/683267/" TargetMode="External"/><Relationship Id="rId20" Type="http://schemas.openxmlformats.org/officeDocument/2006/relationships/hyperlink" Target="https://www.ncbi.nlm.nih.gov/pubmed/26875007" TargetMode="External"/><Relationship Id="rId1" Type="http://schemas.openxmlformats.org/officeDocument/2006/relationships/hyperlink" Target="https://www.thelancet.com/journals/langlo/article/PIIS2214-109X(17)30293-0/fulltext" TargetMode="External"/><Relationship Id="rId6" Type="http://schemas.openxmlformats.org/officeDocument/2006/relationships/hyperlink" Target="http://www.pacificeyeinstitute.org/" TargetMode="External"/><Relationship Id="rId11" Type="http://schemas.openxmlformats.org/officeDocument/2006/relationships/hyperlink" Target="https://www.ncbi.nlm.nih.gov/pmc/articles/PMC4655323/" TargetMode="External"/><Relationship Id="rId5" Type="http://schemas.openxmlformats.org/officeDocument/2006/relationships/hyperlink" Target="https://www.iapb.org/wp-content/uploads/The-Australian-Governments-Avoidable-Blindness-Initiative_Vision-2020-Australia.pdf" TargetMode="External"/><Relationship Id="rId15" Type="http://schemas.openxmlformats.org/officeDocument/2006/relationships/hyperlink" Target="https://www.ncbi.nlm.nih.gov/pmc/articles/PMC4755429/" TargetMode="External"/><Relationship Id="rId10" Type="http://schemas.openxmlformats.org/officeDocument/2006/relationships/hyperlink" Target="https://www.thelancet.com/journals/langlo/article/PIIS2214-109X(17)30393-5/fulltext" TargetMode="External"/><Relationship Id="rId19" Type="http://schemas.openxmlformats.org/officeDocument/2006/relationships/hyperlink" Target="https://www.ncbi.nlm.nih.gov/pmc/articles/PMC4906452/" TargetMode="External"/><Relationship Id="rId4" Type="http://schemas.openxmlformats.org/officeDocument/2006/relationships/hyperlink" Target="http://www.un.org/esa/ffd/ffd3/wp-content/uploads/sites/2/2015/07/Addis-Ababa-Action-Agenda-Draft-Outcome-Document-7-July-2015.pdf" TargetMode="External"/><Relationship Id="rId9" Type="http://schemas.openxmlformats.org/officeDocument/2006/relationships/hyperlink" Target="http://www.vision2020australia.org.au/uploads/resource/242/EAVP-Combined-Completion-and-Year-Three-Annual-Report_submission_Report-and-annexes_Final_for-website.pdf" TargetMode="External"/><Relationship Id="rId14" Type="http://schemas.openxmlformats.org/officeDocument/2006/relationships/hyperlink" Target="http://www.health.gov.au/internet/main/publishing.nsf/content/e-health-telehealt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ccabe\AppData\Roaming\Microsoft\Templates\Repor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83984-ACE1-461B-AD83-DF9DC0E5F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Template>
  <TotalTime>65</TotalTime>
  <Pages>14</Pages>
  <Words>4555</Words>
  <Characters>25967</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 McCabe</dc:creator>
  <cp:lastModifiedBy>Jacob McCabe</cp:lastModifiedBy>
  <cp:revision>11</cp:revision>
  <cp:lastPrinted>2018-10-11T00:15:00Z</cp:lastPrinted>
  <dcterms:created xsi:type="dcterms:W3CDTF">2018-10-11T22:30:00Z</dcterms:created>
  <dcterms:modified xsi:type="dcterms:W3CDTF">2018-10-12T05:09:00Z</dcterms:modified>
</cp:coreProperties>
</file>