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59ED3C" w14:textId="0EC75560" w:rsidR="00E918C8" w:rsidRDefault="00E918C8" w:rsidP="00F805B8">
      <w:pPr>
        <w:pStyle w:val="Heading1"/>
        <w:spacing w:before="0" w:after="120"/>
      </w:pPr>
      <w:bookmarkStart w:id="0" w:name="_GoBack"/>
      <w:r w:rsidRPr="00E918C8">
        <w:t xml:space="preserve">Position statement on meaningful </w:t>
      </w:r>
      <w:r w:rsidRPr="00E918C8">
        <w:br/>
        <w:t xml:space="preserve">employment for people with disability in the Australian Public Service </w:t>
      </w:r>
      <w:bookmarkEnd w:id="0"/>
    </w:p>
    <w:p w14:paraId="1022FC73" w14:textId="3ABC4020" w:rsidR="00C1697A" w:rsidRDefault="00C1697A" w:rsidP="00C1697A">
      <w:pPr>
        <w:pStyle w:val="BodyText"/>
      </w:pPr>
    </w:p>
    <w:p w14:paraId="62F4D3A1" w14:textId="6881CCC3" w:rsidR="00C1697A" w:rsidRPr="00C1697A" w:rsidRDefault="00C1697A" w:rsidP="00C1697A">
      <w:pPr>
        <w:rPr>
          <w:sz w:val="28"/>
          <w:szCs w:val="28"/>
        </w:rPr>
      </w:pPr>
      <w:r w:rsidRPr="00C1697A">
        <w:rPr>
          <w:sz w:val="28"/>
          <w:szCs w:val="28"/>
        </w:rPr>
        <w:t>October 2017</w:t>
      </w:r>
    </w:p>
    <w:p w14:paraId="7CEEBD15" w14:textId="77777777" w:rsidR="004E431C" w:rsidRDefault="004E431C" w:rsidP="00150F7F">
      <w:pPr>
        <w:pStyle w:val="Heading2"/>
      </w:pPr>
      <w:r>
        <w:t>Executive Summary</w:t>
      </w:r>
    </w:p>
    <w:p w14:paraId="6DD8C7DC" w14:textId="77777777" w:rsidR="00E918C8" w:rsidRPr="00E918C8" w:rsidRDefault="00E918C8" w:rsidP="00F805B8">
      <w:pPr>
        <w:spacing w:before="120" w:after="120" w:line="264" w:lineRule="auto"/>
        <w:rPr>
          <w:rFonts w:eastAsia="Times New Roman"/>
          <w:szCs w:val="24"/>
          <w:lang w:eastAsia="en-AU"/>
        </w:rPr>
      </w:pPr>
      <w:r w:rsidRPr="00E918C8">
        <w:rPr>
          <w:rFonts w:eastAsia="Times New Roman"/>
          <w:szCs w:val="24"/>
          <w:lang w:eastAsia="en-AU"/>
        </w:rPr>
        <w:t xml:space="preserve">Access to meaningful employment free from discrimination is a fundamental </w:t>
      </w:r>
      <w:r w:rsidRPr="00E918C8">
        <w:rPr>
          <w:rFonts w:eastAsia="Times New Roman"/>
          <w:szCs w:val="24"/>
          <w:lang w:eastAsia="en-AU"/>
        </w:rPr>
        <w:br/>
        <w:t xml:space="preserve">human right of all Australians and is essential for building a prosperous and </w:t>
      </w:r>
      <w:r w:rsidRPr="00E918C8">
        <w:rPr>
          <w:rFonts w:eastAsia="Times New Roman"/>
          <w:szCs w:val="24"/>
          <w:lang w:eastAsia="en-AU"/>
        </w:rPr>
        <w:br/>
        <w:t xml:space="preserve">egalitarian society. </w:t>
      </w:r>
      <w:r w:rsidR="00D62B19">
        <w:rPr>
          <w:rFonts w:eastAsia="Times New Roman"/>
          <w:szCs w:val="24"/>
          <w:lang w:eastAsia="en-AU"/>
        </w:rPr>
        <w:t>Meaningful</w:t>
      </w:r>
      <w:r w:rsidRPr="00E918C8">
        <w:rPr>
          <w:rFonts w:eastAsia="Times New Roman"/>
          <w:szCs w:val="24"/>
          <w:lang w:eastAsia="en-AU"/>
        </w:rPr>
        <w:t xml:space="preserve"> employment is integral to an individual’s ability to remain independent, empowered and connected with their community</w:t>
      </w:r>
      <w:r w:rsidR="003A30FB">
        <w:rPr>
          <w:rFonts w:eastAsia="Times New Roman"/>
          <w:szCs w:val="24"/>
          <w:lang w:eastAsia="en-AU"/>
        </w:rPr>
        <w:t>, and to</w:t>
      </w:r>
      <w:r w:rsidRPr="00E918C8">
        <w:rPr>
          <w:rFonts w:eastAsia="Times New Roman"/>
          <w:szCs w:val="24"/>
          <w:lang w:eastAsia="en-AU"/>
        </w:rPr>
        <w:t xml:space="preserve"> </w:t>
      </w:r>
      <w:r w:rsidR="003A30FB" w:rsidRPr="00E918C8">
        <w:rPr>
          <w:rFonts w:eastAsia="Times New Roman"/>
          <w:szCs w:val="24"/>
          <w:lang w:eastAsia="en-AU"/>
        </w:rPr>
        <w:t>maximis</w:t>
      </w:r>
      <w:r w:rsidR="003A30FB">
        <w:rPr>
          <w:rFonts w:eastAsia="Times New Roman"/>
          <w:szCs w:val="24"/>
          <w:lang w:eastAsia="en-AU"/>
        </w:rPr>
        <w:t>e</w:t>
      </w:r>
      <w:r w:rsidR="003A30FB" w:rsidRPr="00E918C8">
        <w:rPr>
          <w:rFonts w:eastAsia="Times New Roman"/>
          <w:szCs w:val="24"/>
          <w:lang w:eastAsia="en-AU"/>
        </w:rPr>
        <w:t xml:space="preserve"> </w:t>
      </w:r>
      <w:r w:rsidRPr="00E918C8">
        <w:rPr>
          <w:rFonts w:eastAsia="Times New Roman"/>
          <w:szCs w:val="24"/>
          <w:lang w:eastAsia="en-AU"/>
        </w:rPr>
        <w:t xml:space="preserve">opportunities for participation in all aspects of daily life.  </w:t>
      </w:r>
    </w:p>
    <w:p w14:paraId="30783F3B" w14:textId="77777777" w:rsidR="00E918C8" w:rsidRPr="00E918C8" w:rsidRDefault="00E918C8" w:rsidP="00E918C8">
      <w:pPr>
        <w:spacing w:before="120" w:after="120" w:line="264" w:lineRule="auto"/>
        <w:rPr>
          <w:rFonts w:eastAsia="Times New Roman"/>
          <w:szCs w:val="24"/>
          <w:lang w:eastAsia="en-AU"/>
        </w:rPr>
      </w:pPr>
      <w:r w:rsidRPr="00E918C8">
        <w:rPr>
          <w:rFonts w:eastAsia="Times New Roman"/>
          <w:szCs w:val="24"/>
          <w:lang w:eastAsia="en-AU"/>
        </w:rPr>
        <w:t xml:space="preserve">Australia strengthened its commitment to the rights of people with disability, including the right to employment, ratifying </w:t>
      </w:r>
      <w:r w:rsidRPr="00E918C8">
        <w:rPr>
          <w:rFonts w:eastAsia="Times New Roman"/>
          <w:i/>
          <w:szCs w:val="24"/>
          <w:lang w:eastAsia="en-AU"/>
        </w:rPr>
        <w:t>The United Nations Convention on the Rights of Persons with Disabilities</w:t>
      </w:r>
      <w:r w:rsidRPr="00E918C8">
        <w:rPr>
          <w:rFonts w:eastAsia="Times New Roman"/>
          <w:szCs w:val="24"/>
          <w:lang w:eastAsia="en-AU"/>
        </w:rPr>
        <w:t xml:space="preserve"> (CRPD) in 2008. Additionally, the </w:t>
      </w:r>
      <w:r w:rsidRPr="00E918C8">
        <w:rPr>
          <w:rFonts w:eastAsia="Times New Roman"/>
          <w:i/>
          <w:szCs w:val="24"/>
          <w:lang w:eastAsia="en-AU"/>
        </w:rPr>
        <w:t>Federal Disability Discrimination Act 1992</w:t>
      </w:r>
      <w:r w:rsidRPr="00E918C8">
        <w:rPr>
          <w:rFonts w:eastAsia="Times New Roman"/>
          <w:szCs w:val="24"/>
          <w:lang w:eastAsia="en-AU"/>
        </w:rPr>
        <w:t xml:space="preserve"> (DDA) provides protection for all Australians against discrimination based on disability. Building on the principles of the CRPD and </w:t>
      </w:r>
      <w:r w:rsidR="003A30FB">
        <w:rPr>
          <w:rFonts w:eastAsia="Times New Roman"/>
          <w:szCs w:val="24"/>
          <w:lang w:eastAsia="en-AU"/>
        </w:rPr>
        <w:t xml:space="preserve">the </w:t>
      </w:r>
      <w:r w:rsidRPr="00E918C8">
        <w:rPr>
          <w:rFonts w:eastAsia="Times New Roman"/>
          <w:szCs w:val="24"/>
          <w:lang w:eastAsia="en-AU"/>
        </w:rPr>
        <w:t>DDA, Australia has fully committed to the implementation of the National Disability Insurance Scheme (NDIS)</w:t>
      </w:r>
      <w:r w:rsidR="003A30FB">
        <w:rPr>
          <w:rFonts w:eastAsia="Times New Roman"/>
          <w:szCs w:val="24"/>
          <w:lang w:eastAsia="en-AU"/>
        </w:rPr>
        <w:t>,</w:t>
      </w:r>
      <w:r w:rsidRPr="00E918C8">
        <w:rPr>
          <w:rFonts w:eastAsia="Times New Roman"/>
          <w:szCs w:val="24"/>
          <w:lang w:eastAsia="en-AU"/>
        </w:rPr>
        <w:t xml:space="preserve"> which has the potential to empower people with disability by providing the freedom of choice and control over the services and supports they need to fully participate in social and economic life. </w:t>
      </w:r>
    </w:p>
    <w:p w14:paraId="101E7B1A" w14:textId="335B2317" w:rsidR="00E918C8" w:rsidRPr="00E918C8" w:rsidRDefault="00E918C8" w:rsidP="002947C3">
      <w:pPr>
        <w:pStyle w:val="BodyText"/>
      </w:pPr>
      <w:r w:rsidRPr="00E918C8">
        <w:t xml:space="preserve">Despite these commitments, people who are blind or vision impaired and people </w:t>
      </w:r>
      <w:r w:rsidR="000836AF">
        <w:t>who identify as having a</w:t>
      </w:r>
      <w:r w:rsidRPr="00E918C8">
        <w:t xml:space="preserve"> disability more broadly, remain significantly underrepresented</w:t>
      </w:r>
      <w:r w:rsidR="000F53C3">
        <w:t>, and face multiple barriers</w:t>
      </w:r>
      <w:r w:rsidRPr="00E918C8">
        <w:t xml:space="preserve"> when it comes to participating in the workforce. Nearly one in seven working aged Australians (16-64 years) are living with a disability with a workforce participation rate of just 53.4 per cent, compared to 83.2 per cen</w:t>
      </w:r>
      <w:r w:rsidR="00DF657F">
        <w:t xml:space="preserve"> </w:t>
      </w:r>
      <w:r w:rsidRPr="00E918C8">
        <w:t>t for the remainder of the population.</w:t>
      </w:r>
      <w:r w:rsidRPr="00E918C8">
        <w:rPr>
          <w:vertAlign w:val="superscript"/>
        </w:rPr>
        <w:endnoteReference w:id="1"/>
      </w:r>
      <w:r w:rsidRPr="00E918C8">
        <w:t xml:space="preserve"> More so, it is estimated that 58 per cent of working aged Australians who are blind or vision impaired are unemployed and one third of those who are employed would like to work more hours, highlighting the issue of underemployment.</w:t>
      </w:r>
      <w:r w:rsidRPr="00E918C8">
        <w:rPr>
          <w:vertAlign w:val="superscript"/>
        </w:rPr>
        <w:endnoteReference w:id="2"/>
      </w:r>
      <w:r w:rsidRPr="00E918C8">
        <w:t xml:space="preserve"> It is estimated that if an additional 100,000 people with disability were employed by 2050, this would add an additional one per cent to Australia’s Gross Domestic Product.</w:t>
      </w:r>
      <w:r w:rsidRPr="00E918C8">
        <w:rPr>
          <w:vertAlign w:val="superscript"/>
        </w:rPr>
        <w:endnoteReference w:id="3"/>
      </w:r>
      <w:r w:rsidRPr="00E918C8">
        <w:t xml:space="preserve"> </w:t>
      </w:r>
    </w:p>
    <w:p w14:paraId="7C653E8D" w14:textId="43B9F8CF" w:rsidR="00E918C8" w:rsidRPr="00E918C8" w:rsidRDefault="00E918C8" w:rsidP="00023879">
      <w:pPr>
        <w:pStyle w:val="BodyText"/>
      </w:pPr>
      <w:r w:rsidRPr="00E918C8">
        <w:t xml:space="preserve">While the Australian Public Service (APS) is a major employer across Australia, there has been a consistent decline in the </w:t>
      </w:r>
      <w:r w:rsidR="000836AF">
        <w:t>inclusion</w:t>
      </w:r>
      <w:r w:rsidRPr="00E918C8">
        <w:t xml:space="preserve"> of people </w:t>
      </w:r>
      <w:r w:rsidR="000836AF">
        <w:t xml:space="preserve">who identify as having a </w:t>
      </w:r>
      <w:r w:rsidRPr="00E918C8">
        <w:t>disability in the APS workforce, from 6.6 per cent in 1986</w:t>
      </w:r>
      <w:r w:rsidRPr="00E918C8">
        <w:rPr>
          <w:vertAlign w:val="superscript"/>
        </w:rPr>
        <w:endnoteReference w:id="4"/>
      </w:r>
      <w:r w:rsidRPr="00E918C8">
        <w:t>, down to 4.1 per cent in 2005 to 3.</w:t>
      </w:r>
      <w:r w:rsidR="00337D08">
        <w:t>74</w:t>
      </w:r>
      <w:r w:rsidRPr="00E918C8">
        <w:t xml:space="preserve"> per cent in 201</w:t>
      </w:r>
      <w:r w:rsidR="00337D08">
        <w:t>6</w:t>
      </w:r>
      <w:r w:rsidRPr="00E918C8">
        <w:t>.</w:t>
      </w:r>
      <w:r w:rsidRPr="00E918C8">
        <w:rPr>
          <w:vertAlign w:val="superscript"/>
        </w:rPr>
        <w:endnoteReference w:id="5"/>
      </w:r>
      <w:r w:rsidRPr="00E918C8">
        <w:t xml:space="preserve"> Notably, one such way in which the APS is seeking to improve career pathways into the APS is the</w:t>
      </w:r>
      <w:r w:rsidRPr="00E918C8">
        <w:rPr>
          <w:i/>
        </w:rPr>
        <w:t xml:space="preserve"> RecruitAbility </w:t>
      </w:r>
      <w:r w:rsidRPr="00E918C8">
        <w:t>scheme, offering candidates w</w:t>
      </w:r>
      <w:r w:rsidR="000836AF">
        <w:t>ho identify as having a</w:t>
      </w:r>
      <w:r w:rsidRPr="00E918C8">
        <w:t xml:space="preserve"> disability automatic access to the next stage of the selection process, typically an interview. However, while all agencies are encouraged to adopt the scheme</w:t>
      </w:r>
      <w:r w:rsidR="000A7480">
        <w:t>,</w:t>
      </w:r>
      <w:r w:rsidRPr="00E918C8">
        <w:t xml:space="preserve"> it </w:t>
      </w:r>
      <w:r w:rsidR="000A7480">
        <w:t xml:space="preserve">is </w:t>
      </w:r>
      <w:r w:rsidRPr="00E918C8">
        <w:t xml:space="preserve">currently </w:t>
      </w:r>
      <w:r w:rsidR="000A7480">
        <w:t>not mandatory.</w:t>
      </w:r>
    </w:p>
    <w:p w14:paraId="531DAA92" w14:textId="77777777" w:rsidR="00E057FB" w:rsidRDefault="00E918C8" w:rsidP="00F805B8">
      <w:pPr>
        <w:spacing w:before="120" w:after="60" w:line="264" w:lineRule="auto"/>
        <w:rPr>
          <w:rFonts w:eastAsia="Times New Roman"/>
          <w:szCs w:val="24"/>
          <w:lang w:eastAsia="en-AU"/>
        </w:rPr>
      </w:pPr>
      <w:r w:rsidRPr="00E918C8">
        <w:rPr>
          <w:rFonts w:eastAsia="Times New Roman"/>
          <w:szCs w:val="24"/>
          <w:lang w:eastAsia="en-AU"/>
        </w:rPr>
        <w:t>The current lack of visibility of people w</w:t>
      </w:r>
      <w:r w:rsidR="000836AF">
        <w:rPr>
          <w:rFonts w:eastAsia="Times New Roman"/>
          <w:szCs w:val="24"/>
          <w:lang w:eastAsia="en-AU"/>
        </w:rPr>
        <w:t xml:space="preserve">ho identify as having a </w:t>
      </w:r>
      <w:r w:rsidRPr="00E918C8">
        <w:rPr>
          <w:rFonts w:eastAsia="Times New Roman"/>
          <w:szCs w:val="24"/>
          <w:lang w:eastAsia="en-AU"/>
        </w:rPr>
        <w:t xml:space="preserve">disability in public roles such as the APS makes it difficult for private sector employers to recognise the potential of people with disability. People with disability have a range of skills, capabilities and interests to bring to the workforce. Supporting workplace diversity, leads to increased representation of people with disability in the public and private sector workforce and improves effectiveness and productivity. As an important first step, direct leadership by the Australian Government will work to diminish the negative </w:t>
      </w:r>
      <w:r w:rsidRPr="00E918C8">
        <w:rPr>
          <w:rFonts w:eastAsia="Times New Roman"/>
          <w:szCs w:val="24"/>
          <w:lang w:eastAsia="en-AU"/>
        </w:rPr>
        <w:lastRenderedPageBreak/>
        <w:t>assumptions and pervasive stereotypes surrounding people with disability that continue to contribute to discriminatory employment practices.</w:t>
      </w:r>
      <w:r>
        <w:rPr>
          <w:rFonts w:eastAsia="Times New Roman"/>
          <w:szCs w:val="24"/>
          <w:lang w:eastAsia="en-AU"/>
        </w:rPr>
        <w:t xml:space="preserve"> </w:t>
      </w:r>
    </w:p>
    <w:p w14:paraId="34258CEA" w14:textId="77777777" w:rsidR="007F7046" w:rsidRDefault="007F7046" w:rsidP="007F7046">
      <w:pPr>
        <w:spacing w:before="120" w:after="60" w:line="264" w:lineRule="auto"/>
        <w:rPr>
          <w:rFonts w:eastAsia="Times New Roman"/>
          <w:szCs w:val="24"/>
          <w:lang w:eastAsia="en-AU"/>
        </w:rPr>
      </w:pPr>
      <w:r w:rsidRPr="00E918C8">
        <w:rPr>
          <w:rFonts w:eastAsia="Times New Roman"/>
          <w:szCs w:val="24"/>
          <w:lang w:eastAsia="en-AU"/>
        </w:rPr>
        <w:t xml:space="preserve">Vision 2020 Australia </w:t>
      </w:r>
      <w:r w:rsidR="00337D08">
        <w:rPr>
          <w:rFonts w:eastAsia="Times New Roman"/>
          <w:szCs w:val="24"/>
          <w:lang w:eastAsia="en-AU"/>
        </w:rPr>
        <w:t xml:space="preserve">therefore </w:t>
      </w:r>
      <w:r w:rsidRPr="00E918C8">
        <w:rPr>
          <w:rFonts w:eastAsia="Times New Roman"/>
          <w:szCs w:val="24"/>
          <w:lang w:eastAsia="en-AU"/>
        </w:rPr>
        <w:t>considers it critical that the Australian Government address this</w:t>
      </w:r>
      <w:r>
        <w:rPr>
          <w:rFonts w:eastAsia="Times New Roman"/>
          <w:szCs w:val="24"/>
          <w:lang w:eastAsia="en-AU"/>
        </w:rPr>
        <w:t xml:space="preserve"> </w:t>
      </w:r>
      <w:r w:rsidRPr="00E918C8">
        <w:rPr>
          <w:rFonts w:eastAsia="Times New Roman"/>
          <w:szCs w:val="24"/>
          <w:lang w:eastAsia="en-AU"/>
        </w:rPr>
        <w:t>issue and demonstrate their commitment to diversity by implementing the following</w:t>
      </w:r>
      <w:r>
        <w:rPr>
          <w:rFonts w:eastAsia="Times New Roman"/>
          <w:szCs w:val="24"/>
          <w:lang w:eastAsia="en-AU"/>
        </w:rPr>
        <w:t xml:space="preserve"> package of measures: </w:t>
      </w:r>
    </w:p>
    <w:p w14:paraId="1F9BB9BD" w14:textId="77777777" w:rsidR="007F7046" w:rsidRDefault="007F7046" w:rsidP="00150F7F">
      <w:pPr>
        <w:pStyle w:val="ListNumber0"/>
        <w:numPr>
          <w:ilvl w:val="0"/>
          <w:numId w:val="45"/>
        </w:numPr>
      </w:pPr>
      <w:r>
        <w:t>Implement a</w:t>
      </w:r>
      <w:r w:rsidR="00337D08">
        <w:t>n</w:t>
      </w:r>
      <w:r>
        <w:t xml:space="preserve"> </w:t>
      </w:r>
      <w:r w:rsidRPr="00E918C8">
        <w:t xml:space="preserve">overall target of seven per cent for people </w:t>
      </w:r>
      <w:r>
        <w:t>who identify as having a</w:t>
      </w:r>
      <w:r w:rsidRPr="00E918C8">
        <w:t xml:space="preserve"> disability, including people who are blind or vision impaired, employed in the APS workforce to be achieved within </w:t>
      </w:r>
      <w:r>
        <w:t xml:space="preserve">five years </w:t>
      </w:r>
      <w:r w:rsidR="00337D08">
        <w:t>(</w:t>
      </w:r>
      <w:r>
        <w:t>201</w:t>
      </w:r>
      <w:r w:rsidR="00337D08">
        <w:t>8-2023)</w:t>
      </w:r>
      <w:r>
        <w:t>.</w:t>
      </w:r>
    </w:p>
    <w:p w14:paraId="34313B23" w14:textId="77777777" w:rsidR="007F7046" w:rsidRDefault="007F7046" w:rsidP="00150F7F">
      <w:pPr>
        <w:pStyle w:val="ListNumber0"/>
        <w:numPr>
          <w:ilvl w:val="0"/>
          <w:numId w:val="45"/>
        </w:numPr>
      </w:pPr>
      <w:r>
        <w:t>Implement an APS disability internship initiative.</w:t>
      </w:r>
    </w:p>
    <w:p w14:paraId="5FB67F63" w14:textId="398826B3" w:rsidR="00F37031" w:rsidRPr="005E2C50" w:rsidRDefault="009217B0" w:rsidP="00150F7F">
      <w:pPr>
        <w:pStyle w:val="ListNumber0"/>
        <w:numPr>
          <w:ilvl w:val="0"/>
          <w:numId w:val="45"/>
        </w:numPr>
      </w:pPr>
      <w:r w:rsidRPr="005E2C50">
        <w:t xml:space="preserve">Ensure the </w:t>
      </w:r>
      <w:r w:rsidRPr="005E2C50">
        <w:rPr>
          <w:i/>
        </w:rPr>
        <w:t>RecruitAbility</w:t>
      </w:r>
      <w:r w:rsidRPr="005E2C50">
        <w:t xml:space="preserve"> scheme is </w:t>
      </w:r>
      <w:r w:rsidR="002F4B3A" w:rsidRPr="005E2C50">
        <w:t>mandatory across all APS agencies and levels</w:t>
      </w:r>
      <w:r w:rsidR="005E2C50" w:rsidRPr="005E2C50">
        <w:t>.</w:t>
      </w:r>
    </w:p>
    <w:p w14:paraId="7741D25A" w14:textId="03494CE7" w:rsidR="00F37031" w:rsidRPr="005E2C50" w:rsidRDefault="008735D8" w:rsidP="00150F7F">
      <w:pPr>
        <w:pStyle w:val="ListNumber0"/>
        <w:numPr>
          <w:ilvl w:val="0"/>
          <w:numId w:val="45"/>
        </w:numPr>
      </w:pPr>
      <w:r w:rsidRPr="005E2C50">
        <w:t>Ensure</w:t>
      </w:r>
      <w:r w:rsidR="00EB2DA9" w:rsidRPr="005E2C50">
        <w:t xml:space="preserve"> </w:t>
      </w:r>
      <w:r w:rsidRPr="005E2C50">
        <w:t>r</w:t>
      </w:r>
      <w:r w:rsidR="00F37031" w:rsidRPr="005E2C50">
        <w:t xml:space="preserve">ecruitment </w:t>
      </w:r>
      <w:r w:rsidR="00EB2DA9" w:rsidRPr="005E2C50">
        <w:t>processes</w:t>
      </w:r>
      <w:r w:rsidRPr="005E2C50">
        <w:t xml:space="preserve"> and information, communication and technology (ICT) policies facilitate accessibility for people with a disability</w:t>
      </w:r>
      <w:r w:rsidR="001831BB" w:rsidRPr="005E2C50">
        <w:t>.</w:t>
      </w:r>
    </w:p>
    <w:p w14:paraId="332FBB49" w14:textId="77777777" w:rsidR="00D408F7" w:rsidRPr="00E918C8" w:rsidRDefault="00D408F7" w:rsidP="007F7046">
      <w:pPr>
        <w:pStyle w:val="Heading2"/>
      </w:pPr>
      <w:r w:rsidRPr="00E918C8">
        <w:t>Vision 2020 Australia position</w:t>
      </w:r>
    </w:p>
    <w:p w14:paraId="4930AB46" w14:textId="77777777" w:rsidR="00E918C8" w:rsidRPr="00F805B8" w:rsidRDefault="00E918C8" w:rsidP="00337D08">
      <w:pPr>
        <w:pStyle w:val="Heading3"/>
      </w:pPr>
      <w:r w:rsidRPr="00E918C8">
        <w:t xml:space="preserve">1. </w:t>
      </w:r>
      <w:r w:rsidR="00337D08">
        <w:t xml:space="preserve">Implement an </w:t>
      </w:r>
      <w:r w:rsidR="00337D08" w:rsidRPr="00E918C8">
        <w:t xml:space="preserve">overall target of seven per cent for people </w:t>
      </w:r>
      <w:r w:rsidR="00337D08">
        <w:t>who identify as having a</w:t>
      </w:r>
      <w:r w:rsidR="00337D08" w:rsidRPr="00E918C8">
        <w:t xml:space="preserve"> disability, including people who are blind or vision impaired, employed in the APS workforce to be achieved within </w:t>
      </w:r>
      <w:r w:rsidR="00337D08">
        <w:t>five years (2018-2023)</w:t>
      </w:r>
    </w:p>
    <w:p w14:paraId="6B276868" w14:textId="77777777" w:rsidR="00E918C8" w:rsidRPr="00250279" w:rsidRDefault="00E918C8" w:rsidP="00250279">
      <w:pPr>
        <w:spacing w:before="120" w:after="120" w:line="264" w:lineRule="auto"/>
        <w:rPr>
          <w:rFonts w:eastAsia="Times New Roman"/>
          <w:szCs w:val="24"/>
          <w:lang w:eastAsia="en-AU"/>
        </w:rPr>
      </w:pPr>
      <w:r w:rsidRPr="00E918C8">
        <w:t xml:space="preserve">Setting specific measureable targets and establishing a plan to meet them is an effective way to improve disability inclusion in the workplace by improving accountability and transparency. Vision 2020 Australia recommends implementing an overall target of seven per cent for people </w:t>
      </w:r>
      <w:r w:rsidR="000836AF">
        <w:t>who identify as having a</w:t>
      </w:r>
      <w:r w:rsidRPr="00E918C8">
        <w:t xml:space="preserve"> disability, including people who are blind or vision impaired, employed in the APS workforce to be achieved within </w:t>
      </w:r>
      <w:r w:rsidR="00250279">
        <w:t>five years (201</w:t>
      </w:r>
      <w:r w:rsidR="002C6622">
        <w:t>8</w:t>
      </w:r>
      <w:r w:rsidR="00250279">
        <w:t>-202</w:t>
      </w:r>
      <w:r w:rsidR="002C6622">
        <w:t>3</w:t>
      </w:r>
      <w:r w:rsidR="00250279">
        <w:t xml:space="preserve">). </w:t>
      </w:r>
      <w:r w:rsidR="00250279" w:rsidRPr="00E918C8">
        <w:rPr>
          <w:rFonts w:eastAsia="Times New Roman"/>
          <w:szCs w:val="24"/>
          <w:lang w:eastAsia="en-AU"/>
        </w:rPr>
        <w:t xml:space="preserve">Meeting this target will </w:t>
      </w:r>
      <w:r w:rsidR="002C6622">
        <w:rPr>
          <w:rFonts w:eastAsia="Times New Roman"/>
          <w:szCs w:val="24"/>
          <w:lang w:eastAsia="en-AU"/>
        </w:rPr>
        <w:t xml:space="preserve">move </w:t>
      </w:r>
      <w:r w:rsidR="00250279">
        <w:rPr>
          <w:rFonts w:eastAsia="Times New Roman"/>
          <w:szCs w:val="24"/>
          <w:lang w:eastAsia="en-AU"/>
        </w:rPr>
        <w:t>the APS beyond</w:t>
      </w:r>
      <w:r w:rsidR="00250279" w:rsidRPr="00E918C8">
        <w:rPr>
          <w:rFonts w:eastAsia="Times New Roman"/>
          <w:szCs w:val="24"/>
          <w:lang w:eastAsia="en-AU"/>
        </w:rPr>
        <w:t xml:space="preserve"> where </w:t>
      </w:r>
      <w:r w:rsidR="00250279">
        <w:rPr>
          <w:rFonts w:eastAsia="Times New Roman"/>
          <w:szCs w:val="24"/>
          <w:lang w:eastAsia="en-AU"/>
        </w:rPr>
        <w:t>they were</w:t>
      </w:r>
      <w:r w:rsidR="00250279" w:rsidRPr="00E918C8">
        <w:rPr>
          <w:rFonts w:eastAsia="Times New Roman"/>
          <w:szCs w:val="24"/>
          <w:lang w:eastAsia="en-AU"/>
        </w:rPr>
        <w:t xml:space="preserve"> more than 30 years ago in 1986 at 6.6 per cent and will double </w:t>
      </w:r>
      <w:r w:rsidR="00250279">
        <w:rPr>
          <w:rFonts w:eastAsia="Times New Roman"/>
          <w:szCs w:val="24"/>
          <w:lang w:eastAsia="en-AU"/>
        </w:rPr>
        <w:t>APS inclusion</w:t>
      </w:r>
      <w:r w:rsidR="00250279" w:rsidRPr="00E918C8">
        <w:rPr>
          <w:rFonts w:eastAsia="Times New Roman"/>
          <w:szCs w:val="24"/>
          <w:lang w:eastAsia="en-AU"/>
        </w:rPr>
        <w:t xml:space="preserve"> effort</w:t>
      </w:r>
      <w:r w:rsidR="00250279">
        <w:rPr>
          <w:rFonts w:eastAsia="Times New Roman"/>
          <w:szCs w:val="24"/>
          <w:lang w:eastAsia="en-AU"/>
        </w:rPr>
        <w:t>s</w:t>
      </w:r>
      <w:r w:rsidR="00250279" w:rsidRPr="00E918C8">
        <w:rPr>
          <w:rFonts w:eastAsia="Times New Roman"/>
          <w:szCs w:val="24"/>
          <w:lang w:eastAsia="en-AU"/>
        </w:rPr>
        <w:t xml:space="preserve"> from </w:t>
      </w:r>
      <w:r w:rsidR="00250279">
        <w:rPr>
          <w:rFonts w:eastAsia="Times New Roman"/>
          <w:szCs w:val="24"/>
          <w:lang w:eastAsia="en-AU"/>
        </w:rPr>
        <w:t>3.</w:t>
      </w:r>
      <w:r w:rsidR="002C6622">
        <w:rPr>
          <w:rFonts w:eastAsia="Times New Roman"/>
          <w:szCs w:val="24"/>
          <w:lang w:eastAsia="en-AU"/>
        </w:rPr>
        <w:t>7</w:t>
      </w:r>
      <w:r w:rsidR="000F53C3">
        <w:rPr>
          <w:rFonts w:eastAsia="Times New Roman"/>
          <w:szCs w:val="24"/>
          <w:lang w:eastAsia="en-AU"/>
        </w:rPr>
        <w:t>4</w:t>
      </w:r>
      <w:r w:rsidR="00250279">
        <w:rPr>
          <w:rFonts w:eastAsia="Times New Roman"/>
          <w:szCs w:val="24"/>
          <w:lang w:eastAsia="en-AU"/>
        </w:rPr>
        <w:t xml:space="preserve"> per cent of people </w:t>
      </w:r>
      <w:r w:rsidR="000836AF">
        <w:rPr>
          <w:rFonts w:eastAsia="Times New Roman"/>
          <w:szCs w:val="24"/>
          <w:lang w:eastAsia="en-AU"/>
        </w:rPr>
        <w:t>who identify as having a</w:t>
      </w:r>
      <w:r w:rsidR="00250279" w:rsidRPr="00250279">
        <w:rPr>
          <w:rFonts w:eastAsia="Times New Roman"/>
          <w:szCs w:val="24"/>
          <w:lang w:eastAsia="en-AU"/>
        </w:rPr>
        <w:t xml:space="preserve"> disability</w:t>
      </w:r>
      <w:r w:rsidR="00250279">
        <w:rPr>
          <w:rFonts w:eastAsia="Times New Roman"/>
          <w:szCs w:val="24"/>
          <w:lang w:eastAsia="en-AU"/>
        </w:rPr>
        <w:t xml:space="preserve"> employed in 201</w:t>
      </w:r>
      <w:r w:rsidR="002C6622">
        <w:rPr>
          <w:rFonts w:eastAsia="Times New Roman"/>
          <w:szCs w:val="24"/>
          <w:lang w:eastAsia="en-AU"/>
        </w:rPr>
        <w:t>6</w:t>
      </w:r>
      <w:r w:rsidR="00250279">
        <w:rPr>
          <w:rFonts w:eastAsia="Times New Roman"/>
          <w:szCs w:val="24"/>
          <w:lang w:eastAsia="en-AU"/>
        </w:rPr>
        <w:t xml:space="preserve">. </w:t>
      </w:r>
    </w:p>
    <w:p w14:paraId="61DD3EA9" w14:textId="77777777" w:rsidR="00E918C8" w:rsidRPr="00E918C8" w:rsidRDefault="00E918C8" w:rsidP="00E918C8">
      <w:pPr>
        <w:spacing w:before="120" w:after="120" w:line="264" w:lineRule="auto"/>
        <w:rPr>
          <w:rFonts w:eastAsia="Times New Roman"/>
          <w:szCs w:val="24"/>
          <w:lang w:eastAsia="en-AU"/>
        </w:rPr>
      </w:pPr>
      <w:r w:rsidRPr="00E918C8">
        <w:rPr>
          <w:rFonts w:eastAsia="Times New Roman"/>
          <w:szCs w:val="24"/>
          <w:lang w:eastAsia="en-AU"/>
        </w:rPr>
        <w:t xml:space="preserve">In order to meet this target within a </w:t>
      </w:r>
      <w:r w:rsidR="00FE3AD1" w:rsidRPr="00E918C8">
        <w:rPr>
          <w:rFonts w:eastAsia="Times New Roman"/>
          <w:szCs w:val="24"/>
          <w:lang w:eastAsia="en-AU"/>
        </w:rPr>
        <w:t>five-year</w:t>
      </w:r>
      <w:r w:rsidR="00FE3AD1">
        <w:rPr>
          <w:rFonts w:eastAsia="Times New Roman"/>
          <w:szCs w:val="24"/>
          <w:lang w:eastAsia="en-AU"/>
        </w:rPr>
        <w:t xml:space="preserve"> time</w:t>
      </w:r>
      <w:r w:rsidRPr="00E918C8">
        <w:rPr>
          <w:rFonts w:eastAsia="Times New Roman"/>
          <w:szCs w:val="24"/>
          <w:lang w:eastAsia="en-AU"/>
        </w:rPr>
        <w:t xml:space="preserve">frame: </w:t>
      </w:r>
    </w:p>
    <w:p w14:paraId="7FB9D459" w14:textId="77777777" w:rsidR="00250279" w:rsidRDefault="00940700" w:rsidP="002947C3">
      <w:pPr>
        <w:pStyle w:val="ListNumber0"/>
        <w:numPr>
          <w:ilvl w:val="0"/>
          <w:numId w:val="12"/>
        </w:numPr>
      </w:pPr>
      <w:r>
        <w:t>I</w:t>
      </w:r>
      <w:r w:rsidR="00E918C8" w:rsidRPr="00250279">
        <w:t xml:space="preserve">t will be essential for APS annual recruitment strategies to include a </w:t>
      </w:r>
      <w:r w:rsidR="00250279" w:rsidRPr="00250279">
        <w:t>progressive percentage t</w:t>
      </w:r>
      <w:r w:rsidR="000836AF">
        <w:t>arget of people who identify as having a</w:t>
      </w:r>
      <w:r>
        <w:t xml:space="preserve"> disability.</w:t>
      </w:r>
    </w:p>
    <w:p w14:paraId="17145D4F" w14:textId="77777777" w:rsidR="00E918C8" w:rsidRPr="00250279" w:rsidRDefault="00940700" w:rsidP="002947C3">
      <w:pPr>
        <w:pStyle w:val="ListNumber0"/>
        <w:numPr>
          <w:ilvl w:val="0"/>
          <w:numId w:val="12"/>
        </w:numPr>
      </w:pPr>
      <w:r>
        <w:t>T</w:t>
      </w:r>
      <w:r w:rsidR="00E918C8" w:rsidRPr="00250279">
        <w:t xml:space="preserve">he target should be applied in a meaningful way with a true commitment to workplace participation by people </w:t>
      </w:r>
      <w:r w:rsidR="000836AF">
        <w:t>who identify as having a</w:t>
      </w:r>
      <w:r w:rsidR="00E918C8" w:rsidRPr="00250279">
        <w:t xml:space="preserve"> disability, across all APS departments and across all levels, including the Executive Level and Senior Executive Service classification level. </w:t>
      </w:r>
    </w:p>
    <w:p w14:paraId="034C66A9" w14:textId="77777777" w:rsidR="00E918C8" w:rsidRPr="00E918C8" w:rsidRDefault="00E918C8" w:rsidP="002947C3">
      <w:pPr>
        <w:pStyle w:val="ListNumber0"/>
        <w:numPr>
          <w:ilvl w:val="0"/>
          <w:numId w:val="12"/>
        </w:numPr>
      </w:pPr>
      <w:r w:rsidRPr="00E918C8">
        <w:t xml:space="preserve">The target should stimulate career pathways for young people with a strong emphasis on recruitment at the Trainee, Graduate, APS 1 and APS 2 classification levels. </w:t>
      </w:r>
    </w:p>
    <w:p w14:paraId="250B1566" w14:textId="77777777" w:rsidR="00E918C8" w:rsidRPr="00E918C8" w:rsidRDefault="00E918C8" w:rsidP="002947C3">
      <w:pPr>
        <w:pStyle w:val="Heading3"/>
      </w:pPr>
      <w:r w:rsidRPr="00E918C8">
        <w:t xml:space="preserve">2. Implement an APS disability internship initiative </w:t>
      </w:r>
    </w:p>
    <w:p w14:paraId="35409FC8" w14:textId="77777777" w:rsidR="00E918C8" w:rsidRPr="00E918C8" w:rsidRDefault="00E918C8" w:rsidP="00E918C8">
      <w:pPr>
        <w:spacing w:before="120" w:after="120" w:line="264" w:lineRule="auto"/>
        <w:rPr>
          <w:rFonts w:eastAsia="Times New Roman"/>
          <w:szCs w:val="24"/>
          <w:lang w:eastAsia="en-AU"/>
        </w:rPr>
      </w:pPr>
      <w:r w:rsidRPr="00E918C8">
        <w:rPr>
          <w:rFonts w:eastAsia="Times New Roman"/>
          <w:szCs w:val="24"/>
          <w:lang w:eastAsia="en-AU"/>
        </w:rPr>
        <w:t xml:space="preserve">Existing schemes such as work-for-the-dole programs and proposed policy commitments such as Youth Jobs PaTH require individuals to take part in employment that </w:t>
      </w:r>
      <w:r w:rsidR="000F53C3">
        <w:rPr>
          <w:rFonts w:eastAsia="Times New Roman"/>
          <w:szCs w:val="24"/>
          <w:lang w:eastAsia="en-AU"/>
        </w:rPr>
        <w:t>may not be relevant</w:t>
      </w:r>
      <w:r w:rsidR="000F53C3" w:rsidRPr="00E918C8">
        <w:rPr>
          <w:rFonts w:eastAsia="Times New Roman"/>
          <w:szCs w:val="24"/>
          <w:lang w:eastAsia="en-AU"/>
        </w:rPr>
        <w:t xml:space="preserve"> </w:t>
      </w:r>
      <w:r w:rsidRPr="00E918C8">
        <w:rPr>
          <w:rFonts w:eastAsia="Times New Roman"/>
          <w:szCs w:val="24"/>
          <w:lang w:eastAsia="en-AU"/>
        </w:rPr>
        <w:t xml:space="preserve">to their individual goals and aspirations and therefore </w:t>
      </w:r>
      <w:r w:rsidR="000F53C3">
        <w:rPr>
          <w:rFonts w:eastAsia="Times New Roman"/>
          <w:szCs w:val="24"/>
          <w:lang w:eastAsia="en-AU"/>
        </w:rPr>
        <w:t xml:space="preserve">will be </w:t>
      </w:r>
      <w:r w:rsidRPr="00E918C8">
        <w:rPr>
          <w:rFonts w:eastAsia="Times New Roman"/>
          <w:szCs w:val="24"/>
          <w:lang w:eastAsia="en-AU"/>
        </w:rPr>
        <w:t xml:space="preserve">unlikely to have a </w:t>
      </w:r>
      <w:r w:rsidR="000F53C3" w:rsidRPr="00E918C8">
        <w:rPr>
          <w:rFonts w:eastAsia="Times New Roman"/>
          <w:szCs w:val="24"/>
          <w:lang w:eastAsia="en-AU"/>
        </w:rPr>
        <w:t>long-term</w:t>
      </w:r>
      <w:r w:rsidRPr="00E918C8">
        <w:rPr>
          <w:rFonts w:eastAsia="Times New Roman"/>
          <w:szCs w:val="24"/>
          <w:lang w:eastAsia="en-AU"/>
        </w:rPr>
        <w:t xml:space="preserve"> impact on their employment outcomes. As such, it is essential that an APS disability initiative for young people </w:t>
      </w:r>
      <w:r w:rsidR="000F53C3" w:rsidRPr="00E918C8">
        <w:rPr>
          <w:rFonts w:eastAsia="Times New Roman"/>
          <w:szCs w:val="24"/>
          <w:lang w:eastAsia="en-AU"/>
        </w:rPr>
        <w:t>take</w:t>
      </w:r>
      <w:r w:rsidR="000F53C3">
        <w:rPr>
          <w:rFonts w:eastAsia="Times New Roman"/>
          <w:szCs w:val="24"/>
          <w:lang w:eastAsia="en-AU"/>
        </w:rPr>
        <w:t>s</w:t>
      </w:r>
      <w:r w:rsidRPr="00E918C8">
        <w:rPr>
          <w:rFonts w:eastAsia="Times New Roman"/>
          <w:szCs w:val="24"/>
          <w:lang w:eastAsia="en-AU"/>
        </w:rPr>
        <w:t xml:space="preserve"> a </w:t>
      </w:r>
      <w:r w:rsidR="000F53C3">
        <w:rPr>
          <w:rFonts w:eastAsia="Times New Roman"/>
          <w:szCs w:val="24"/>
          <w:lang w:eastAsia="en-AU"/>
        </w:rPr>
        <w:t>holistic approach</w:t>
      </w:r>
      <w:r w:rsidR="000F53C3" w:rsidRPr="00E918C8">
        <w:rPr>
          <w:rFonts w:eastAsia="Times New Roman"/>
          <w:szCs w:val="24"/>
          <w:lang w:eastAsia="en-AU"/>
        </w:rPr>
        <w:t xml:space="preserve"> </w:t>
      </w:r>
      <w:r w:rsidR="000F53C3">
        <w:rPr>
          <w:rFonts w:eastAsia="Times New Roman"/>
          <w:szCs w:val="24"/>
          <w:lang w:eastAsia="en-AU"/>
        </w:rPr>
        <w:t>in order</w:t>
      </w:r>
      <w:r w:rsidRPr="00E918C8">
        <w:rPr>
          <w:rFonts w:eastAsia="Times New Roman"/>
          <w:szCs w:val="24"/>
          <w:lang w:eastAsia="en-AU"/>
        </w:rPr>
        <w:t xml:space="preserve"> to meet </w:t>
      </w:r>
      <w:r w:rsidR="000F53C3">
        <w:rPr>
          <w:rFonts w:eastAsia="Times New Roman"/>
          <w:szCs w:val="24"/>
          <w:lang w:eastAsia="en-AU"/>
        </w:rPr>
        <w:t>a person’s</w:t>
      </w:r>
      <w:r w:rsidRPr="00E918C8">
        <w:rPr>
          <w:rFonts w:eastAsia="Times New Roman"/>
          <w:szCs w:val="24"/>
          <w:lang w:eastAsia="en-AU"/>
        </w:rPr>
        <w:t xml:space="preserve"> individual goals and career objectives.    </w:t>
      </w:r>
    </w:p>
    <w:p w14:paraId="0B3E8F34" w14:textId="77777777" w:rsidR="00E918C8" w:rsidRPr="00E918C8" w:rsidRDefault="00E918C8" w:rsidP="00E918C8">
      <w:pPr>
        <w:spacing w:before="120" w:after="120" w:line="264" w:lineRule="auto"/>
        <w:rPr>
          <w:rFonts w:eastAsia="Times New Roman"/>
          <w:szCs w:val="24"/>
          <w:lang w:eastAsia="en-AU"/>
        </w:rPr>
      </w:pPr>
      <w:r w:rsidRPr="00E918C8">
        <w:rPr>
          <w:rFonts w:eastAsia="Times New Roman"/>
          <w:szCs w:val="24"/>
          <w:lang w:eastAsia="en-AU"/>
        </w:rPr>
        <w:t xml:space="preserve">The purpose of the disability internship is twofold; not only will the initiative promote job readiness for people </w:t>
      </w:r>
      <w:r w:rsidR="000836AF" w:rsidRPr="000836AF">
        <w:rPr>
          <w:rFonts w:eastAsia="Times New Roman"/>
          <w:szCs w:val="24"/>
          <w:lang w:eastAsia="en-AU"/>
        </w:rPr>
        <w:t xml:space="preserve">who identify as having a </w:t>
      </w:r>
      <w:r w:rsidRPr="00E918C8">
        <w:rPr>
          <w:rFonts w:eastAsia="Times New Roman"/>
          <w:szCs w:val="24"/>
          <w:lang w:eastAsia="en-AU"/>
        </w:rPr>
        <w:t xml:space="preserve">disability and stimulate career </w:t>
      </w:r>
      <w:r w:rsidRPr="00E918C8">
        <w:rPr>
          <w:rFonts w:eastAsia="Times New Roman"/>
          <w:szCs w:val="24"/>
          <w:lang w:eastAsia="en-AU"/>
        </w:rPr>
        <w:lastRenderedPageBreak/>
        <w:t>pathways into the APS workforce</w:t>
      </w:r>
      <w:r w:rsidR="000F53C3">
        <w:rPr>
          <w:rFonts w:eastAsia="Times New Roman"/>
          <w:szCs w:val="24"/>
          <w:lang w:eastAsia="en-AU"/>
        </w:rPr>
        <w:t>, but</w:t>
      </w:r>
      <w:r w:rsidRPr="00E918C8">
        <w:rPr>
          <w:rFonts w:eastAsia="Times New Roman"/>
          <w:szCs w:val="24"/>
          <w:lang w:eastAsia="en-AU"/>
        </w:rPr>
        <w:t xml:space="preserve"> it will simultaneously increase visibility with the view to diminish negative attitudes and misconceptions su</w:t>
      </w:r>
      <w:r w:rsidR="000925F4">
        <w:rPr>
          <w:rFonts w:eastAsia="Times New Roman"/>
          <w:szCs w:val="24"/>
          <w:lang w:eastAsia="en-AU"/>
        </w:rPr>
        <w:t xml:space="preserve">rrounding people </w:t>
      </w:r>
      <w:r w:rsidR="000836AF">
        <w:rPr>
          <w:rFonts w:eastAsia="Times New Roman"/>
          <w:szCs w:val="24"/>
          <w:lang w:eastAsia="en-AU"/>
        </w:rPr>
        <w:t>who identify as having a</w:t>
      </w:r>
      <w:r w:rsidR="000925F4">
        <w:rPr>
          <w:rFonts w:eastAsia="Times New Roman"/>
          <w:szCs w:val="24"/>
          <w:lang w:eastAsia="en-AU"/>
        </w:rPr>
        <w:t xml:space="preserve"> disability</w:t>
      </w:r>
      <w:r w:rsidRPr="00E918C8">
        <w:rPr>
          <w:rFonts w:eastAsia="Times New Roman"/>
          <w:szCs w:val="24"/>
          <w:lang w:eastAsia="en-AU"/>
        </w:rPr>
        <w:t xml:space="preserve">. </w:t>
      </w:r>
    </w:p>
    <w:p w14:paraId="7A0885AB" w14:textId="77777777" w:rsidR="007F7046" w:rsidRDefault="00E918C8" w:rsidP="007F7046">
      <w:pPr>
        <w:spacing w:before="120" w:after="120" w:line="264" w:lineRule="auto"/>
        <w:rPr>
          <w:rFonts w:eastAsia="Times New Roman"/>
          <w:szCs w:val="24"/>
          <w:lang w:eastAsia="en-AU"/>
        </w:rPr>
      </w:pPr>
      <w:r w:rsidRPr="00E918C8">
        <w:rPr>
          <w:rFonts w:eastAsia="Times New Roman"/>
          <w:szCs w:val="24"/>
          <w:lang w:eastAsia="en-AU"/>
        </w:rPr>
        <w:t xml:space="preserve">It is anticipated that individuals participating in the APS disability internship initiative will be aged between 16 and 25 years, with an expectation to complete a minimum </w:t>
      </w:r>
      <w:r w:rsidR="000F53C3">
        <w:rPr>
          <w:rFonts w:eastAsia="Times New Roman"/>
          <w:szCs w:val="24"/>
          <w:lang w:eastAsia="en-AU"/>
        </w:rPr>
        <w:t xml:space="preserve">of </w:t>
      </w:r>
      <w:r w:rsidRPr="00E918C8">
        <w:rPr>
          <w:rFonts w:eastAsia="Times New Roman"/>
          <w:szCs w:val="24"/>
          <w:lang w:eastAsia="en-AU"/>
        </w:rPr>
        <w:t>15 to 25 hours per week, over the course of a minimum</w:t>
      </w:r>
      <w:r w:rsidR="000F53C3">
        <w:rPr>
          <w:rFonts w:eastAsia="Times New Roman"/>
          <w:szCs w:val="24"/>
          <w:lang w:eastAsia="en-AU"/>
        </w:rPr>
        <w:t xml:space="preserve"> of</w:t>
      </w:r>
      <w:r w:rsidRPr="00E918C8">
        <w:rPr>
          <w:rFonts w:eastAsia="Times New Roman"/>
          <w:szCs w:val="24"/>
          <w:lang w:eastAsia="en-AU"/>
        </w:rPr>
        <w:t xml:space="preserve"> three months, or as negotiated with their employer. </w:t>
      </w:r>
    </w:p>
    <w:p w14:paraId="33FCF1C6" w14:textId="77777777" w:rsidR="00E918C8" w:rsidRPr="00E918C8" w:rsidRDefault="00E918C8" w:rsidP="007F7046">
      <w:pPr>
        <w:spacing w:before="120" w:after="120" w:line="264" w:lineRule="auto"/>
        <w:rPr>
          <w:rFonts w:eastAsia="Times New Roman"/>
          <w:szCs w:val="24"/>
          <w:lang w:eastAsia="en-AU"/>
        </w:rPr>
      </w:pPr>
      <w:r w:rsidRPr="00E918C8">
        <w:rPr>
          <w:rFonts w:eastAsia="Times New Roman"/>
          <w:szCs w:val="24"/>
          <w:lang w:eastAsia="en-AU"/>
        </w:rPr>
        <w:t>At an operational level</w:t>
      </w:r>
      <w:r w:rsidR="000F53C3">
        <w:rPr>
          <w:rFonts w:eastAsia="Times New Roman"/>
          <w:szCs w:val="24"/>
          <w:lang w:eastAsia="en-AU"/>
        </w:rPr>
        <w:t>,</w:t>
      </w:r>
      <w:r w:rsidRPr="00E918C8">
        <w:rPr>
          <w:rFonts w:eastAsia="Times New Roman"/>
          <w:szCs w:val="24"/>
          <w:lang w:eastAsia="en-AU"/>
        </w:rPr>
        <w:t xml:space="preserve"> the APS disability internship initiative must:  </w:t>
      </w:r>
    </w:p>
    <w:p w14:paraId="09D40E20" w14:textId="77777777" w:rsidR="00E918C8" w:rsidRPr="00E918C8" w:rsidRDefault="00E918C8" w:rsidP="002947C3">
      <w:pPr>
        <w:pStyle w:val="ListNumber0"/>
        <w:numPr>
          <w:ilvl w:val="0"/>
          <w:numId w:val="42"/>
        </w:numPr>
      </w:pPr>
      <w:r w:rsidRPr="00E918C8">
        <w:t xml:space="preserve">implement flexible working arrangements and reasonable adjustments to meet the individual needs of interns; </w:t>
      </w:r>
    </w:p>
    <w:p w14:paraId="272EA942" w14:textId="77777777" w:rsidR="00E918C8" w:rsidRPr="00E918C8" w:rsidRDefault="00E918C8" w:rsidP="002947C3">
      <w:pPr>
        <w:pStyle w:val="ListNumber0"/>
        <w:numPr>
          <w:ilvl w:val="0"/>
          <w:numId w:val="12"/>
        </w:numPr>
      </w:pPr>
      <w:r w:rsidRPr="00E918C8">
        <w:t>design placements which are tailored to the specific goals and aspirations of the individual;</w:t>
      </w:r>
    </w:p>
    <w:p w14:paraId="44201554" w14:textId="77777777" w:rsidR="00E918C8" w:rsidRPr="00E918C8" w:rsidRDefault="00E918C8" w:rsidP="002947C3">
      <w:pPr>
        <w:pStyle w:val="ListNumber0"/>
        <w:numPr>
          <w:ilvl w:val="0"/>
          <w:numId w:val="12"/>
        </w:numPr>
      </w:pPr>
      <w:r w:rsidRPr="00E918C8">
        <w:t>not affect any government payments, allowances or concessions;</w:t>
      </w:r>
    </w:p>
    <w:p w14:paraId="1DDF14E1" w14:textId="77777777" w:rsidR="00E918C8" w:rsidRPr="00E918C8" w:rsidRDefault="00E918C8" w:rsidP="002947C3">
      <w:pPr>
        <w:pStyle w:val="ListNumber0"/>
        <w:numPr>
          <w:ilvl w:val="0"/>
          <w:numId w:val="12"/>
        </w:numPr>
      </w:pPr>
      <w:r w:rsidRPr="00E918C8">
        <w:t>reimburse interns for costs associated with travel;</w:t>
      </w:r>
    </w:p>
    <w:p w14:paraId="1230BBA8" w14:textId="77777777" w:rsidR="00250279" w:rsidRPr="00C92034" w:rsidRDefault="00E918C8" w:rsidP="002947C3">
      <w:pPr>
        <w:pStyle w:val="ListNumber0"/>
        <w:numPr>
          <w:ilvl w:val="0"/>
          <w:numId w:val="12"/>
        </w:numPr>
      </w:pPr>
      <w:r w:rsidRPr="00E918C8">
        <w:t xml:space="preserve">be applied across all APS departments, with a minimum requirement of 50 internship placements in year one, with the intent to double intake each year with the aim of 200 placements by the end of year three. </w:t>
      </w:r>
    </w:p>
    <w:p w14:paraId="729BCD2E" w14:textId="77777777" w:rsidR="00E918C8" w:rsidRPr="00E918C8" w:rsidRDefault="00E918C8" w:rsidP="002947C3">
      <w:pPr>
        <w:pStyle w:val="Heading3"/>
      </w:pPr>
      <w:r w:rsidRPr="00E918C8">
        <w:t xml:space="preserve">3. Ensure the </w:t>
      </w:r>
      <w:r w:rsidRPr="00E918C8">
        <w:rPr>
          <w:i/>
        </w:rPr>
        <w:t>RecruitAbility</w:t>
      </w:r>
      <w:r w:rsidRPr="00E918C8">
        <w:t xml:space="preserve"> scheme is universally applicable </w:t>
      </w:r>
    </w:p>
    <w:p w14:paraId="5E1B63E8" w14:textId="77777777" w:rsidR="00E918C8" w:rsidRPr="00E918C8" w:rsidRDefault="00E918C8" w:rsidP="00E918C8">
      <w:pPr>
        <w:spacing w:before="120" w:after="120" w:line="264" w:lineRule="auto"/>
        <w:rPr>
          <w:rFonts w:eastAsia="Times New Roman"/>
          <w:szCs w:val="24"/>
          <w:lang w:eastAsia="en-AU"/>
        </w:rPr>
      </w:pPr>
      <w:r w:rsidRPr="00E918C8">
        <w:rPr>
          <w:rFonts w:eastAsia="Times New Roman"/>
          <w:szCs w:val="24"/>
          <w:lang w:eastAsia="en-AU"/>
        </w:rPr>
        <w:t xml:space="preserve">Ensuring the </w:t>
      </w:r>
      <w:r w:rsidRPr="00E918C8">
        <w:rPr>
          <w:rFonts w:eastAsia="Times New Roman"/>
          <w:i/>
          <w:szCs w:val="24"/>
          <w:lang w:eastAsia="en-AU"/>
        </w:rPr>
        <w:t>RecruitAbility</w:t>
      </w:r>
      <w:r w:rsidRPr="00E918C8">
        <w:rPr>
          <w:rFonts w:eastAsia="Times New Roman"/>
          <w:szCs w:val="24"/>
          <w:lang w:eastAsia="en-AU"/>
        </w:rPr>
        <w:t xml:space="preserve"> scheme is mandatory across all APS agencies and all level vacancies, rather than operating on an opt-in basis, will better support people </w:t>
      </w:r>
      <w:r w:rsidR="000836AF">
        <w:rPr>
          <w:rFonts w:eastAsia="Times New Roman"/>
          <w:szCs w:val="24"/>
          <w:lang w:eastAsia="en-AU"/>
        </w:rPr>
        <w:t xml:space="preserve">who identify as having a </w:t>
      </w:r>
      <w:r w:rsidRPr="00E918C8">
        <w:rPr>
          <w:rFonts w:eastAsia="Times New Roman"/>
          <w:szCs w:val="24"/>
          <w:lang w:eastAsia="en-AU"/>
        </w:rPr>
        <w:t>disability in the APS selection processes</w:t>
      </w:r>
      <w:r w:rsidR="000F53C3">
        <w:rPr>
          <w:rFonts w:eastAsia="Times New Roman"/>
          <w:szCs w:val="24"/>
          <w:lang w:eastAsia="en-AU"/>
        </w:rPr>
        <w:t>,</w:t>
      </w:r>
      <w:r w:rsidRPr="00E918C8">
        <w:rPr>
          <w:rFonts w:eastAsia="Times New Roman"/>
          <w:szCs w:val="24"/>
          <w:lang w:eastAsia="en-AU"/>
        </w:rPr>
        <w:t xml:space="preserve"> whil</w:t>
      </w:r>
      <w:r w:rsidR="000F53C3">
        <w:rPr>
          <w:rFonts w:eastAsia="Times New Roman"/>
          <w:szCs w:val="24"/>
          <w:lang w:eastAsia="en-AU"/>
        </w:rPr>
        <w:t>e</w:t>
      </w:r>
      <w:r w:rsidRPr="00E918C8">
        <w:rPr>
          <w:rFonts w:eastAsia="Times New Roman"/>
          <w:szCs w:val="24"/>
          <w:lang w:eastAsia="en-AU"/>
        </w:rPr>
        <w:t xml:space="preserve"> ensuring that merit remains the foundation for employment and promotion. In the long term, a universally applicable </w:t>
      </w:r>
      <w:r w:rsidRPr="00E918C8">
        <w:rPr>
          <w:rFonts w:eastAsia="Times New Roman"/>
          <w:i/>
          <w:szCs w:val="24"/>
          <w:lang w:eastAsia="en-AU"/>
        </w:rPr>
        <w:t>RecruitAbility</w:t>
      </w:r>
      <w:r w:rsidRPr="00E918C8">
        <w:rPr>
          <w:rFonts w:eastAsia="Times New Roman"/>
          <w:szCs w:val="24"/>
          <w:lang w:eastAsia="en-AU"/>
        </w:rPr>
        <w:t xml:space="preserve"> scheme will work to facilitate cultural change during the recruitment process, contributing to a workforce that is diverse and skilled.  </w:t>
      </w:r>
    </w:p>
    <w:p w14:paraId="5BD4A168" w14:textId="62527789" w:rsidR="00E918C8" w:rsidRPr="00E918C8" w:rsidRDefault="00E918C8" w:rsidP="002947C3">
      <w:pPr>
        <w:pStyle w:val="Heading3"/>
      </w:pPr>
      <w:r w:rsidRPr="00E918C8">
        <w:t xml:space="preserve">4. </w:t>
      </w:r>
      <w:r w:rsidR="001405D1">
        <w:t>I</w:t>
      </w:r>
      <w:r w:rsidRPr="00E918C8">
        <w:t xml:space="preserve">nformation, communication and technology (ICT) procurement </w:t>
      </w:r>
      <w:r w:rsidR="001405D1">
        <w:t>and recruitment</w:t>
      </w:r>
    </w:p>
    <w:p w14:paraId="074102BA" w14:textId="6F97A291" w:rsidR="00E918C8" w:rsidRPr="00E918C8" w:rsidRDefault="00853BF7" w:rsidP="00E918C8">
      <w:pPr>
        <w:spacing w:before="120" w:after="120" w:line="264" w:lineRule="auto"/>
        <w:rPr>
          <w:rFonts w:eastAsia="Times New Roman"/>
          <w:szCs w:val="24"/>
          <w:lang w:eastAsia="en-AU"/>
        </w:rPr>
      </w:pPr>
      <w:r>
        <w:rPr>
          <w:rFonts w:eastAsia="Times New Roman"/>
          <w:szCs w:val="24"/>
          <w:lang w:eastAsia="en-AU"/>
        </w:rPr>
        <w:t>In September 2016, the Australian Government announced their intention to adopt an</w:t>
      </w:r>
      <w:r w:rsidRPr="008D667E">
        <w:rPr>
          <w:rFonts w:eastAsia="Times New Roman"/>
          <w:szCs w:val="24"/>
          <w:lang w:eastAsia="en-AU"/>
        </w:rPr>
        <w:t xml:space="preserve"> Australian Standard on ICT accessibility</w:t>
      </w:r>
      <w:r>
        <w:rPr>
          <w:rFonts w:eastAsia="Times New Roman"/>
          <w:szCs w:val="24"/>
          <w:lang w:eastAsia="en-AU"/>
        </w:rPr>
        <w:t>, to</w:t>
      </w:r>
      <w:r w:rsidRPr="008D667E">
        <w:rPr>
          <w:rFonts w:eastAsia="Times New Roman"/>
          <w:szCs w:val="24"/>
          <w:lang w:eastAsia="en-AU"/>
        </w:rPr>
        <w:t xml:space="preserve"> support access to ICT for people w</w:t>
      </w:r>
      <w:r>
        <w:rPr>
          <w:rFonts w:eastAsia="Times New Roman"/>
          <w:szCs w:val="24"/>
          <w:lang w:eastAsia="en-AU"/>
        </w:rPr>
        <w:t>ho identify as having a disability</w:t>
      </w:r>
      <w:r w:rsidRPr="0035518F">
        <w:rPr>
          <w:rFonts w:eastAsia="Times New Roman"/>
          <w:szCs w:val="24"/>
          <w:lang w:eastAsia="en-AU"/>
        </w:rPr>
        <w:t>. While this presents a promising opportunity for creating inclusive work environments, c</w:t>
      </w:r>
      <w:r w:rsidR="00E918C8" w:rsidRPr="0035518F">
        <w:rPr>
          <w:rFonts w:eastAsia="Times New Roman"/>
          <w:szCs w:val="24"/>
          <w:lang w:eastAsia="en-AU"/>
        </w:rPr>
        <w:t xml:space="preserve">urrent recruitment processes </w:t>
      </w:r>
      <w:r w:rsidRPr="0035518F">
        <w:rPr>
          <w:rFonts w:eastAsia="Times New Roman"/>
          <w:szCs w:val="24"/>
          <w:lang w:eastAsia="en-AU"/>
        </w:rPr>
        <w:t>are often a</w:t>
      </w:r>
      <w:r w:rsidR="00E918C8" w:rsidRPr="0035518F">
        <w:rPr>
          <w:rFonts w:eastAsia="Times New Roman"/>
          <w:szCs w:val="24"/>
          <w:lang w:eastAsia="en-AU"/>
        </w:rPr>
        <w:t xml:space="preserve"> significant barrier to employment for people who are blind or vision impaired</w:t>
      </w:r>
      <w:r w:rsidR="000F53C3" w:rsidRPr="0035518F">
        <w:rPr>
          <w:rFonts w:eastAsia="Times New Roman"/>
          <w:szCs w:val="24"/>
          <w:lang w:eastAsia="en-AU"/>
        </w:rPr>
        <w:t>,</w:t>
      </w:r>
      <w:r w:rsidR="00E918C8" w:rsidRPr="0035518F">
        <w:rPr>
          <w:rFonts w:eastAsia="Times New Roman"/>
          <w:szCs w:val="24"/>
          <w:lang w:eastAsia="en-AU"/>
        </w:rPr>
        <w:t xml:space="preserve"> and people with disability more broadly. As such, it is essential all recruitment processes are viewed through the lens of accessibility to ensure</w:t>
      </w:r>
      <w:r w:rsidR="000F53C3" w:rsidRPr="0035518F">
        <w:rPr>
          <w:rFonts w:eastAsia="Times New Roman"/>
          <w:szCs w:val="24"/>
          <w:lang w:eastAsia="en-AU"/>
        </w:rPr>
        <w:t xml:space="preserve"> </w:t>
      </w:r>
      <w:r w:rsidR="00E918C8" w:rsidRPr="0035518F">
        <w:rPr>
          <w:rFonts w:eastAsia="Times New Roman"/>
          <w:szCs w:val="24"/>
          <w:lang w:eastAsia="en-AU"/>
        </w:rPr>
        <w:t>the entire application, interview and contracting process is accessible.</w:t>
      </w:r>
      <w:r w:rsidR="00E918C8" w:rsidRPr="00E918C8">
        <w:rPr>
          <w:rFonts w:eastAsia="Times New Roman"/>
          <w:szCs w:val="24"/>
          <w:lang w:eastAsia="en-AU"/>
        </w:rPr>
        <w:t xml:space="preserve"> </w:t>
      </w:r>
    </w:p>
    <w:p w14:paraId="64125B48" w14:textId="7492A18B" w:rsidR="00E918C8" w:rsidRPr="00E918C8" w:rsidRDefault="0035518F" w:rsidP="00E918C8">
      <w:pPr>
        <w:spacing w:before="120" w:after="120" w:line="264" w:lineRule="auto"/>
        <w:rPr>
          <w:rFonts w:eastAsia="Times New Roman"/>
          <w:szCs w:val="24"/>
          <w:lang w:eastAsia="en-AU"/>
        </w:rPr>
      </w:pPr>
      <w:r>
        <w:rPr>
          <w:rFonts w:eastAsia="Times New Roman"/>
          <w:szCs w:val="24"/>
          <w:lang w:eastAsia="en-AU"/>
        </w:rPr>
        <w:t>T</w:t>
      </w:r>
      <w:r w:rsidR="00E918C8" w:rsidRPr="00E918C8">
        <w:rPr>
          <w:rFonts w:eastAsia="Times New Roman"/>
          <w:szCs w:val="24"/>
          <w:lang w:eastAsia="en-AU"/>
        </w:rPr>
        <w:t>o ensure that recruitment processes are accessible for people with disability, it is</w:t>
      </w:r>
      <w:r w:rsidR="001405D1">
        <w:rPr>
          <w:rFonts w:eastAsia="Times New Roman"/>
          <w:szCs w:val="24"/>
          <w:lang w:eastAsia="en-AU"/>
        </w:rPr>
        <w:t xml:space="preserve"> </w:t>
      </w:r>
      <w:r w:rsidR="00E918C8" w:rsidRPr="00E918C8">
        <w:rPr>
          <w:rFonts w:eastAsia="Times New Roman"/>
          <w:szCs w:val="24"/>
          <w:lang w:eastAsia="en-AU"/>
        </w:rPr>
        <w:t xml:space="preserve">essential the APS conduct a review of their recruitment processes and agencies, </w:t>
      </w:r>
      <w:r w:rsidR="00853BF7">
        <w:rPr>
          <w:rFonts w:eastAsia="Times New Roman"/>
          <w:szCs w:val="24"/>
          <w:lang w:eastAsia="en-AU"/>
        </w:rPr>
        <w:t xml:space="preserve">and </w:t>
      </w:r>
      <w:r w:rsidR="00E918C8" w:rsidRPr="00E918C8">
        <w:rPr>
          <w:rFonts w:eastAsia="Times New Roman"/>
          <w:szCs w:val="24"/>
          <w:lang w:eastAsia="en-AU"/>
        </w:rPr>
        <w:t>identify the necessary steps to become fully compliant</w:t>
      </w:r>
      <w:r w:rsidR="00853BF7">
        <w:rPr>
          <w:rFonts w:eastAsia="Times New Roman"/>
          <w:szCs w:val="24"/>
          <w:lang w:eastAsia="en-AU"/>
        </w:rPr>
        <w:t>. It is also important that</w:t>
      </w:r>
      <w:r w:rsidR="00150F7F">
        <w:rPr>
          <w:rFonts w:eastAsia="Times New Roman"/>
          <w:szCs w:val="24"/>
          <w:lang w:eastAsia="en-AU"/>
        </w:rPr>
        <w:t xml:space="preserve"> </w:t>
      </w:r>
      <w:r w:rsidR="001405D1">
        <w:rPr>
          <w:rFonts w:eastAsia="Times New Roman"/>
          <w:szCs w:val="24"/>
          <w:lang w:eastAsia="en-AU"/>
        </w:rPr>
        <w:t>unconscious bias training be undertaken by recruiters.</w:t>
      </w:r>
    </w:p>
    <w:p w14:paraId="2F44BE76" w14:textId="4C5F09D6" w:rsidR="00E918C8" w:rsidRPr="00E918C8" w:rsidRDefault="00E918C8" w:rsidP="00E918C8">
      <w:pPr>
        <w:spacing w:before="120" w:after="120" w:line="264" w:lineRule="auto"/>
        <w:rPr>
          <w:rFonts w:eastAsia="Times New Roman"/>
          <w:szCs w:val="24"/>
          <w:lang w:eastAsia="en-AU"/>
        </w:rPr>
      </w:pPr>
      <w:r w:rsidRPr="00E918C8">
        <w:rPr>
          <w:rFonts w:eastAsia="Times New Roman"/>
          <w:szCs w:val="24"/>
          <w:lang w:eastAsia="en-AU"/>
        </w:rPr>
        <w:t>In relation to ICT procurement policies</w:t>
      </w:r>
      <w:r w:rsidR="00853BF7">
        <w:rPr>
          <w:rFonts w:eastAsia="Times New Roman"/>
          <w:szCs w:val="24"/>
          <w:lang w:eastAsia="en-AU"/>
        </w:rPr>
        <w:t>,</w:t>
      </w:r>
      <w:r w:rsidRPr="00E918C8">
        <w:rPr>
          <w:rFonts w:eastAsia="Times New Roman"/>
          <w:szCs w:val="24"/>
          <w:lang w:eastAsia="en-AU"/>
        </w:rPr>
        <w:t xml:space="preserve"> the APS must lead by example to explore opportunities to improve ICT procurement guidelines that support workplace diversity, by: </w:t>
      </w:r>
    </w:p>
    <w:p w14:paraId="7B4B7E85" w14:textId="77777777" w:rsidR="00E918C8" w:rsidRPr="00E918C8" w:rsidRDefault="00E918C8" w:rsidP="005B10BC">
      <w:pPr>
        <w:pStyle w:val="ListNumber0"/>
        <w:numPr>
          <w:ilvl w:val="0"/>
          <w:numId w:val="43"/>
        </w:numPr>
      </w:pPr>
      <w:r w:rsidRPr="00E918C8">
        <w:t xml:space="preserve">conducting an immediate review of ICT Procurement Guidelines; </w:t>
      </w:r>
    </w:p>
    <w:p w14:paraId="1A41A35D" w14:textId="77777777" w:rsidR="00E918C8" w:rsidRPr="00E918C8" w:rsidRDefault="00E918C8" w:rsidP="002947C3">
      <w:pPr>
        <w:pStyle w:val="ListNumber0"/>
        <w:numPr>
          <w:ilvl w:val="0"/>
          <w:numId w:val="43"/>
        </w:numPr>
      </w:pPr>
      <w:r w:rsidRPr="00E918C8">
        <w:t>appointing a director for ICT procurement to oversee a strategic review process and to ensure accessible ICT systems form part of action plans;</w:t>
      </w:r>
    </w:p>
    <w:p w14:paraId="6324E1C0" w14:textId="785D8D2C" w:rsidR="007F7046" w:rsidRDefault="00E918C8" w:rsidP="001B6609">
      <w:pPr>
        <w:pStyle w:val="ListNumber0"/>
        <w:numPr>
          <w:ilvl w:val="0"/>
          <w:numId w:val="43"/>
        </w:numPr>
      </w:pPr>
      <w:r w:rsidRPr="00E918C8">
        <w:lastRenderedPageBreak/>
        <w:t>including accessibility and disability procurement standards in all government tendering guidelines and ensuring government contractors also meet minimum requirements especially with respe</w:t>
      </w:r>
      <w:r w:rsidR="007F7046">
        <w:t>ct to ICT procurement policies</w:t>
      </w:r>
      <w:r w:rsidR="00EB2DA9">
        <w:t xml:space="preserve">; and </w:t>
      </w:r>
    </w:p>
    <w:p w14:paraId="18F58115" w14:textId="2EDC0E8E" w:rsidR="00E918C8" w:rsidRPr="003C12CE" w:rsidRDefault="00F72F1A" w:rsidP="001B6609">
      <w:pPr>
        <w:pStyle w:val="ListNumber0"/>
        <w:numPr>
          <w:ilvl w:val="0"/>
          <w:numId w:val="43"/>
        </w:numPr>
      </w:pPr>
      <w:r w:rsidRPr="003C12CE">
        <w:t>M</w:t>
      </w:r>
      <w:r w:rsidR="00E918C8" w:rsidRPr="003C12CE">
        <w:t>andatory reporting on disaggregated data</w:t>
      </w:r>
      <w:r w:rsidR="00853BF7" w:rsidRPr="003C12CE">
        <w:t>.</w:t>
      </w:r>
      <w:r w:rsidR="00E918C8" w:rsidRPr="003C12CE">
        <w:t xml:space="preserve"> </w:t>
      </w:r>
    </w:p>
    <w:p w14:paraId="1D65BF8C" w14:textId="2D144C46" w:rsidR="00E918C8" w:rsidRPr="00E918C8" w:rsidRDefault="00E918C8" w:rsidP="00E918C8">
      <w:pPr>
        <w:spacing w:before="120" w:after="120" w:line="264" w:lineRule="auto"/>
        <w:rPr>
          <w:rFonts w:eastAsia="Times New Roman"/>
          <w:szCs w:val="24"/>
          <w:lang w:eastAsia="en-AU"/>
        </w:rPr>
      </w:pPr>
      <w:r w:rsidRPr="00E918C8">
        <w:rPr>
          <w:rFonts w:eastAsia="Times New Roman"/>
          <w:szCs w:val="24"/>
          <w:lang w:eastAsia="en-AU"/>
        </w:rPr>
        <w:t xml:space="preserve">While the APS reports annually </w:t>
      </w:r>
      <w:r w:rsidR="000836AF">
        <w:rPr>
          <w:rFonts w:eastAsia="Times New Roman"/>
          <w:szCs w:val="24"/>
          <w:lang w:eastAsia="en-AU"/>
        </w:rPr>
        <w:t xml:space="preserve">on the number of employees who identify as having a </w:t>
      </w:r>
      <w:r w:rsidRPr="00E918C8">
        <w:rPr>
          <w:rFonts w:eastAsia="Times New Roman"/>
          <w:szCs w:val="24"/>
          <w:lang w:eastAsia="en-AU"/>
        </w:rPr>
        <w:t>disability, this information is not disaggregated</w:t>
      </w:r>
      <w:r w:rsidR="00D773A9">
        <w:rPr>
          <w:rFonts w:eastAsia="Times New Roman"/>
          <w:szCs w:val="24"/>
          <w:lang w:eastAsia="en-AU"/>
        </w:rPr>
        <w:t>,</w:t>
      </w:r>
      <w:r w:rsidRPr="00E918C8">
        <w:rPr>
          <w:rFonts w:eastAsia="Times New Roman"/>
          <w:szCs w:val="24"/>
          <w:lang w:eastAsia="en-AU"/>
        </w:rPr>
        <w:t xml:space="preserve"> and therefore cannot be used to extract meaningful information. To this end, Vision 2020 Australia recommends that the APS employ mandatory reporting to capture and monitor data on the number of people </w:t>
      </w:r>
      <w:r w:rsidR="000836AF">
        <w:rPr>
          <w:rFonts w:eastAsia="Times New Roman"/>
          <w:szCs w:val="24"/>
          <w:lang w:eastAsia="en-AU"/>
        </w:rPr>
        <w:t>who identify as having a</w:t>
      </w:r>
      <w:r w:rsidRPr="00E918C8">
        <w:rPr>
          <w:rFonts w:eastAsia="Times New Roman"/>
          <w:szCs w:val="24"/>
          <w:lang w:eastAsia="en-AU"/>
        </w:rPr>
        <w:t xml:space="preserve"> disability employed in the APS, disaggregated according to level of employment and primary disability</w:t>
      </w:r>
      <w:r w:rsidR="00EB2DA9">
        <w:rPr>
          <w:rFonts w:eastAsia="Times New Roman"/>
          <w:szCs w:val="24"/>
          <w:lang w:eastAsia="en-AU"/>
        </w:rPr>
        <w:t>,</w:t>
      </w:r>
      <w:r w:rsidRPr="00E918C8">
        <w:rPr>
          <w:rFonts w:eastAsia="Times New Roman"/>
          <w:szCs w:val="24"/>
          <w:lang w:eastAsia="en-AU"/>
        </w:rPr>
        <w:t xml:space="preserve"> with a specific category for blindness and vision impairment. Th</w:t>
      </w:r>
      <w:r w:rsidR="0069593B">
        <w:rPr>
          <w:rFonts w:eastAsia="Times New Roman"/>
          <w:szCs w:val="24"/>
          <w:lang w:eastAsia="en-AU"/>
        </w:rPr>
        <w:t>is</w:t>
      </w:r>
      <w:r w:rsidRPr="00E918C8">
        <w:rPr>
          <w:rFonts w:eastAsia="Times New Roman"/>
          <w:szCs w:val="24"/>
          <w:lang w:eastAsia="en-AU"/>
        </w:rPr>
        <w:t xml:space="preserve"> data should be transparent and presented to the Australian Parliament on an annual basis to ensure accountability towards a target of seven per cent over five years (201</w:t>
      </w:r>
      <w:r w:rsidR="00853BF7">
        <w:rPr>
          <w:rFonts w:eastAsia="Times New Roman"/>
          <w:szCs w:val="24"/>
          <w:lang w:eastAsia="en-AU"/>
        </w:rPr>
        <w:t>8</w:t>
      </w:r>
      <w:r w:rsidRPr="00E918C8">
        <w:rPr>
          <w:rFonts w:eastAsia="Times New Roman"/>
          <w:szCs w:val="24"/>
          <w:lang w:eastAsia="en-AU"/>
        </w:rPr>
        <w:t>-202</w:t>
      </w:r>
      <w:r w:rsidR="00853BF7">
        <w:rPr>
          <w:rFonts w:eastAsia="Times New Roman"/>
          <w:szCs w:val="24"/>
          <w:lang w:eastAsia="en-AU"/>
        </w:rPr>
        <w:t>3</w:t>
      </w:r>
      <w:r w:rsidR="0069593B">
        <w:rPr>
          <w:rFonts w:eastAsia="Times New Roman"/>
          <w:szCs w:val="24"/>
          <w:lang w:eastAsia="en-AU"/>
        </w:rPr>
        <w:t>).</w:t>
      </w:r>
    </w:p>
    <w:p w14:paraId="63722B2F" w14:textId="77777777" w:rsidR="00E918C8" w:rsidRPr="00E918C8" w:rsidRDefault="00E918C8" w:rsidP="002947C3">
      <w:pPr>
        <w:pStyle w:val="Heading2"/>
      </w:pPr>
      <w:r w:rsidRPr="003C12CE">
        <w:t>Policy context</w:t>
      </w:r>
    </w:p>
    <w:p w14:paraId="309963C8" w14:textId="77777777" w:rsidR="00DE0593" w:rsidRPr="00FA0C09" w:rsidRDefault="00E918C8" w:rsidP="00E918C8">
      <w:pPr>
        <w:spacing w:before="120" w:after="120" w:line="264" w:lineRule="auto"/>
        <w:rPr>
          <w:rFonts w:eastAsia="Times New Roman"/>
          <w:szCs w:val="24"/>
          <w:lang w:eastAsia="en-AU"/>
        </w:rPr>
      </w:pPr>
      <w:r w:rsidRPr="00FA0C09">
        <w:rPr>
          <w:rFonts w:eastAsia="Times New Roman"/>
          <w:szCs w:val="24"/>
          <w:lang w:eastAsia="en-AU"/>
        </w:rPr>
        <w:t xml:space="preserve">In </w:t>
      </w:r>
      <w:r w:rsidR="00260E78" w:rsidRPr="00FA0C09">
        <w:rPr>
          <w:rFonts w:eastAsia="Times New Roman"/>
          <w:szCs w:val="24"/>
          <w:lang w:eastAsia="en-AU"/>
        </w:rPr>
        <w:t>2012</w:t>
      </w:r>
      <w:r w:rsidR="00385093" w:rsidRPr="00FA0C09">
        <w:rPr>
          <w:rFonts w:eastAsia="Times New Roman"/>
          <w:szCs w:val="24"/>
          <w:lang w:eastAsia="en-AU"/>
        </w:rPr>
        <w:t>,</w:t>
      </w:r>
      <w:r w:rsidR="00260E78" w:rsidRPr="00FA0C09">
        <w:rPr>
          <w:rFonts w:eastAsia="Times New Roman"/>
          <w:szCs w:val="24"/>
          <w:lang w:eastAsia="en-AU"/>
        </w:rPr>
        <w:t xml:space="preserve"> Vision </w:t>
      </w:r>
      <w:r w:rsidRPr="00FA0C09">
        <w:rPr>
          <w:rFonts w:eastAsia="Times New Roman"/>
          <w:szCs w:val="24"/>
          <w:lang w:eastAsia="en-AU"/>
        </w:rPr>
        <w:t>Australia</w:t>
      </w:r>
      <w:r w:rsidR="00DE0593" w:rsidRPr="00FA0C09">
        <w:rPr>
          <w:rStyle w:val="EndnoteReference"/>
          <w:rFonts w:eastAsia="Times New Roman"/>
          <w:szCs w:val="24"/>
          <w:lang w:eastAsia="en-AU"/>
        </w:rPr>
        <w:endnoteReference w:id="6"/>
      </w:r>
      <w:r w:rsidRPr="00FA0C09">
        <w:rPr>
          <w:rFonts w:eastAsia="Times New Roman"/>
          <w:szCs w:val="24"/>
          <w:lang w:eastAsia="en-AU"/>
        </w:rPr>
        <w:t xml:space="preserve"> </w:t>
      </w:r>
      <w:r w:rsidR="00DE0593" w:rsidRPr="00FA0C09">
        <w:rPr>
          <w:rFonts w:eastAsia="Times New Roman"/>
          <w:szCs w:val="24"/>
          <w:lang w:eastAsia="en-AU"/>
        </w:rPr>
        <w:t xml:space="preserve">found </w:t>
      </w:r>
      <w:r w:rsidRPr="00FA0C09">
        <w:rPr>
          <w:rFonts w:eastAsia="Times New Roman"/>
          <w:szCs w:val="24"/>
          <w:lang w:eastAsia="en-AU"/>
        </w:rPr>
        <w:t xml:space="preserve">that 58 per cent of </w:t>
      </w:r>
      <w:r w:rsidR="00DE0593" w:rsidRPr="00FA0C09">
        <w:rPr>
          <w:rFonts w:eastAsia="Times New Roman"/>
          <w:szCs w:val="24"/>
          <w:lang w:eastAsia="en-AU"/>
        </w:rPr>
        <w:t xml:space="preserve">their clients of </w:t>
      </w:r>
      <w:r w:rsidRPr="00FA0C09">
        <w:rPr>
          <w:rFonts w:eastAsia="Times New Roman"/>
          <w:szCs w:val="24"/>
          <w:lang w:eastAsia="en-AU"/>
        </w:rPr>
        <w:t xml:space="preserve">working age who </w:t>
      </w:r>
      <w:r w:rsidR="00DE0593" w:rsidRPr="00FA0C09">
        <w:rPr>
          <w:rFonts w:eastAsia="Times New Roman"/>
          <w:szCs w:val="24"/>
          <w:lang w:eastAsia="en-AU"/>
        </w:rPr>
        <w:t>we</w:t>
      </w:r>
      <w:r w:rsidRPr="00FA0C09">
        <w:rPr>
          <w:rFonts w:eastAsia="Times New Roman"/>
          <w:szCs w:val="24"/>
          <w:lang w:eastAsia="en-AU"/>
        </w:rPr>
        <w:t xml:space="preserve">re blind or </w:t>
      </w:r>
      <w:r w:rsidR="00DE0593" w:rsidRPr="00FA0C09">
        <w:rPr>
          <w:rFonts w:eastAsia="Times New Roman"/>
          <w:szCs w:val="24"/>
          <w:lang w:eastAsia="en-AU"/>
        </w:rPr>
        <w:t xml:space="preserve">had low vision </w:t>
      </w:r>
      <w:r w:rsidR="00260E78" w:rsidRPr="00FA0C09">
        <w:rPr>
          <w:rFonts w:eastAsia="Times New Roman"/>
          <w:szCs w:val="24"/>
          <w:lang w:eastAsia="en-AU"/>
        </w:rPr>
        <w:t xml:space="preserve">were </w:t>
      </w:r>
      <w:r w:rsidR="000C1280" w:rsidRPr="00FA0C09">
        <w:rPr>
          <w:rFonts w:eastAsia="Times New Roman"/>
          <w:szCs w:val="24"/>
          <w:lang w:eastAsia="en-AU"/>
        </w:rPr>
        <w:t>un</w:t>
      </w:r>
      <w:r w:rsidRPr="00FA0C09">
        <w:rPr>
          <w:rFonts w:eastAsia="Times New Roman"/>
          <w:szCs w:val="24"/>
          <w:lang w:eastAsia="en-AU"/>
        </w:rPr>
        <w:t>employed</w:t>
      </w:r>
      <w:r w:rsidR="000C1280" w:rsidRPr="00FA0C09">
        <w:rPr>
          <w:rFonts w:eastAsia="Times New Roman"/>
          <w:szCs w:val="24"/>
          <w:lang w:eastAsia="en-AU"/>
        </w:rPr>
        <w:t xml:space="preserve"> not by their choice</w:t>
      </w:r>
      <w:r w:rsidR="00260E78" w:rsidRPr="00FA0C09">
        <w:rPr>
          <w:rFonts w:eastAsia="Times New Roman"/>
          <w:szCs w:val="24"/>
          <w:lang w:eastAsia="en-AU"/>
        </w:rPr>
        <w:t>.</w:t>
      </w:r>
      <w:r w:rsidRPr="00FA0C09">
        <w:rPr>
          <w:rFonts w:eastAsia="Times New Roman"/>
          <w:szCs w:val="24"/>
          <w:lang w:eastAsia="en-AU"/>
        </w:rPr>
        <w:t xml:space="preserve"> </w:t>
      </w:r>
      <w:r w:rsidR="00735BE7" w:rsidRPr="00FA0C09">
        <w:rPr>
          <w:rFonts w:eastAsia="Times New Roman"/>
          <w:szCs w:val="24"/>
          <w:lang w:eastAsia="en-AU"/>
        </w:rPr>
        <w:t>Vision Australia compared this with the wider Australian population, noting 14</w:t>
      </w:r>
      <w:r w:rsidR="00DE0593" w:rsidRPr="00FA0C09">
        <w:rPr>
          <w:rFonts w:eastAsia="Times New Roman"/>
          <w:szCs w:val="24"/>
          <w:lang w:eastAsia="en-AU"/>
        </w:rPr>
        <w:t xml:space="preserve"> per cent</w:t>
      </w:r>
      <w:r w:rsidR="00735BE7" w:rsidRPr="00FA0C09">
        <w:rPr>
          <w:rFonts w:eastAsia="Times New Roman"/>
          <w:szCs w:val="24"/>
          <w:lang w:eastAsia="en-AU"/>
        </w:rPr>
        <w:t xml:space="preserve"> were unemployed not by choice</w:t>
      </w:r>
      <w:r w:rsidR="00DE0593" w:rsidRPr="00FA0C09">
        <w:rPr>
          <w:rFonts w:eastAsia="Times New Roman"/>
          <w:szCs w:val="24"/>
          <w:lang w:eastAsia="en-AU"/>
        </w:rPr>
        <w:t>.</w:t>
      </w:r>
      <w:r w:rsidR="00961FE6" w:rsidRPr="00FA0C09">
        <w:rPr>
          <w:rStyle w:val="EndnoteReference"/>
          <w:rFonts w:eastAsia="Times New Roman"/>
          <w:szCs w:val="24"/>
          <w:lang w:eastAsia="en-AU"/>
        </w:rPr>
        <w:endnoteReference w:id="7"/>
      </w:r>
      <w:r w:rsidR="00385093" w:rsidRPr="00FA0C09">
        <w:rPr>
          <w:rFonts w:eastAsia="Times New Roman"/>
          <w:szCs w:val="24"/>
          <w:lang w:eastAsia="en-AU"/>
        </w:rPr>
        <w:t xml:space="preserve"> Based on these figures, people who are blind or have low vision were </w:t>
      </w:r>
      <w:r w:rsidR="00735BE7" w:rsidRPr="00FA0C09">
        <w:rPr>
          <w:rFonts w:eastAsia="Times New Roman"/>
          <w:szCs w:val="24"/>
          <w:lang w:eastAsia="en-AU"/>
        </w:rPr>
        <w:t>four</w:t>
      </w:r>
      <w:r w:rsidR="00385093" w:rsidRPr="00FA0C09">
        <w:rPr>
          <w:rFonts w:eastAsia="Times New Roman"/>
          <w:szCs w:val="24"/>
          <w:lang w:eastAsia="en-AU"/>
        </w:rPr>
        <w:t xml:space="preserve"> </w:t>
      </w:r>
      <w:r w:rsidR="00DE0593" w:rsidRPr="00FA0C09">
        <w:rPr>
          <w:rFonts w:eastAsia="Times New Roman"/>
          <w:szCs w:val="24"/>
          <w:lang w:eastAsia="en-AU"/>
        </w:rPr>
        <w:t>times more likely to be un</w:t>
      </w:r>
      <w:r w:rsidR="00385093" w:rsidRPr="00FA0C09">
        <w:rPr>
          <w:rFonts w:eastAsia="Times New Roman"/>
          <w:szCs w:val="24"/>
          <w:lang w:eastAsia="en-AU"/>
        </w:rPr>
        <w:t>employed.</w:t>
      </w:r>
    </w:p>
    <w:p w14:paraId="23885464" w14:textId="0ECCCAB7" w:rsidR="00385093" w:rsidRPr="00FA0C09" w:rsidRDefault="002243F0" w:rsidP="00E918C8">
      <w:pPr>
        <w:spacing w:before="120" w:after="120" w:line="264" w:lineRule="auto"/>
        <w:rPr>
          <w:rFonts w:eastAsia="Times New Roman"/>
          <w:szCs w:val="24"/>
          <w:lang w:eastAsia="en-AU"/>
        </w:rPr>
      </w:pPr>
      <w:r w:rsidRPr="00FA0C09">
        <w:rPr>
          <w:rFonts w:eastAsia="Times New Roman"/>
          <w:szCs w:val="24"/>
          <w:lang w:eastAsia="en-AU"/>
        </w:rPr>
        <w:t xml:space="preserve">Research currently underway </w:t>
      </w:r>
      <w:r w:rsidR="00DE0593" w:rsidRPr="00FA0C09">
        <w:rPr>
          <w:rFonts w:eastAsia="Times New Roman"/>
          <w:szCs w:val="24"/>
          <w:lang w:eastAsia="en-AU"/>
        </w:rPr>
        <w:t>i</w:t>
      </w:r>
      <w:r w:rsidRPr="00FA0C09">
        <w:rPr>
          <w:rFonts w:eastAsia="Times New Roman"/>
          <w:szCs w:val="24"/>
          <w:lang w:eastAsia="en-AU"/>
        </w:rPr>
        <w:t xml:space="preserve">s expected to be </w:t>
      </w:r>
      <w:r w:rsidR="00DE0593" w:rsidRPr="00FA0C09">
        <w:rPr>
          <w:rFonts w:eastAsia="Times New Roman"/>
          <w:szCs w:val="24"/>
          <w:lang w:eastAsia="en-AU"/>
        </w:rPr>
        <w:t xml:space="preserve">broadly </w:t>
      </w:r>
      <w:r w:rsidRPr="00FA0C09">
        <w:rPr>
          <w:rFonts w:eastAsia="Times New Roman"/>
          <w:szCs w:val="24"/>
          <w:lang w:eastAsia="en-AU"/>
        </w:rPr>
        <w:t>consistent with the</w:t>
      </w:r>
      <w:r w:rsidR="00385093" w:rsidRPr="00FA0C09">
        <w:rPr>
          <w:rFonts w:eastAsia="Times New Roman"/>
          <w:szCs w:val="24"/>
          <w:lang w:eastAsia="en-AU"/>
        </w:rPr>
        <w:t xml:space="preserve"> 2012</w:t>
      </w:r>
      <w:r w:rsidRPr="00FA0C09">
        <w:rPr>
          <w:rFonts w:eastAsia="Times New Roman"/>
          <w:szCs w:val="24"/>
          <w:lang w:eastAsia="en-AU"/>
        </w:rPr>
        <w:t xml:space="preserve"> findings.</w:t>
      </w:r>
      <w:r w:rsidR="00DE0593" w:rsidRPr="00FA0C09">
        <w:rPr>
          <w:rStyle w:val="EndnoteReference"/>
          <w:rFonts w:eastAsia="Times New Roman"/>
          <w:szCs w:val="24"/>
          <w:lang w:eastAsia="en-AU"/>
        </w:rPr>
        <w:endnoteReference w:id="8"/>
      </w:r>
    </w:p>
    <w:p w14:paraId="2DEF954C" w14:textId="28A66CA1" w:rsidR="00E918C8" w:rsidRPr="00E918C8" w:rsidRDefault="00E918C8" w:rsidP="00E918C8">
      <w:pPr>
        <w:spacing w:before="120" w:after="120" w:line="264" w:lineRule="auto"/>
        <w:rPr>
          <w:rFonts w:eastAsia="Times New Roman"/>
          <w:szCs w:val="24"/>
          <w:lang w:eastAsia="en-AU"/>
        </w:rPr>
      </w:pPr>
      <w:r w:rsidRPr="00FA0C09">
        <w:rPr>
          <w:rFonts w:eastAsia="Times New Roman"/>
          <w:szCs w:val="24"/>
          <w:lang w:eastAsia="en-AU"/>
        </w:rPr>
        <w:t>Additionally, one in four people who are blind or vision impaired report experiencing some level of discrimination in relation to their employment.</w:t>
      </w:r>
      <w:r w:rsidRPr="00FA0C09">
        <w:rPr>
          <w:rFonts w:eastAsia="Times New Roman"/>
          <w:szCs w:val="24"/>
          <w:vertAlign w:val="superscript"/>
          <w:lang w:eastAsia="en-AU"/>
        </w:rPr>
        <w:endnoteReference w:id="9"/>
      </w:r>
      <w:r w:rsidR="00A84007" w:rsidRPr="00FA0C09">
        <w:rPr>
          <w:rFonts w:eastAsia="Times New Roman"/>
          <w:szCs w:val="24"/>
          <w:lang w:eastAsia="en-AU"/>
        </w:rPr>
        <w:t xml:space="preserve"> In 2016, the Australian Human Rights Commission received 3,529 enquiries about disability discrimination broadly, and 35 per cent of these related to employment. </w:t>
      </w:r>
      <w:r w:rsidR="00CC3AD2" w:rsidRPr="00FA0C09">
        <w:rPr>
          <w:rFonts w:eastAsia="Times New Roman"/>
          <w:szCs w:val="24"/>
          <w:lang w:eastAsia="en-AU"/>
        </w:rPr>
        <w:t>In addition, they received</w:t>
      </w:r>
      <w:r w:rsidR="00A84007" w:rsidRPr="00FA0C09">
        <w:rPr>
          <w:rFonts w:eastAsia="Times New Roman"/>
          <w:szCs w:val="24"/>
          <w:lang w:eastAsia="en-AU"/>
        </w:rPr>
        <w:t xml:space="preserve"> 742 complaints</w:t>
      </w:r>
      <w:r w:rsidR="00CC3AD2" w:rsidRPr="00FA0C09">
        <w:rPr>
          <w:rFonts w:eastAsia="Times New Roman"/>
          <w:szCs w:val="24"/>
          <w:lang w:eastAsia="en-AU"/>
        </w:rPr>
        <w:t xml:space="preserve"> of disability </w:t>
      </w:r>
      <w:r w:rsidR="00753697" w:rsidRPr="00FA0C09">
        <w:rPr>
          <w:rFonts w:eastAsia="Times New Roman"/>
          <w:szCs w:val="24"/>
          <w:lang w:eastAsia="en-AU"/>
        </w:rPr>
        <w:t>discrimination</w:t>
      </w:r>
      <w:r w:rsidR="00CC3AD2" w:rsidRPr="00FA0C09">
        <w:rPr>
          <w:rFonts w:eastAsia="Times New Roman"/>
          <w:szCs w:val="24"/>
          <w:lang w:eastAsia="en-AU"/>
        </w:rPr>
        <w:t xml:space="preserve">, and </w:t>
      </w:r>
      <w:r w:rsidR="00A84007" w:rsidRPr="00FA0C09">
        <w:rPr>
          <w:rFonts w:eastAsia="Times New Roman"/>
          <w:szCs w:val="24"/>
          <w:lang w:eastAsia="en-AU"/>
        </w:rPr>
        <w:t>41 per cent related to employment.</w:t>
      </w:r>
      <w:r w:rsidR="00A84007" w:rsidRPr="00FA0C09">
        <w:rPr>
          <w:rStyle w:val="EndnoteReference"/>
          <w:rFonts w:eastAsia="Times New Roman"/>
          <w:szCs w:val="24"/>
          <w:lang w:eastAsia="en-AU"/>
        </w:rPr>
        <w:endnoteReference w:id="10"/>
      </w:r>
      <w:r w:rsidR="00A84007" w:rsidRPr="00FA0C09">
        <w:rPr>
          <w:rFonts w:eastAsia="Times New Roman"/>
          <w:szCs w:val="24"/>
          <w:lang w:eastAsia="en-AU"/>
        </w:rPr>
        <w:t xml:space="preserve"> Discrimination in employment remains a significant barrier for people with disability participating in the workforce.</w:t>
      </w:r>
    </w:p>
    <w:p w14:paraId="5B3F5BAD" w14:textId="77777777" w:rsidR="00E918C8" w:rsidRPr="00E918C8" w:rsidRDefault="00E918C8" w:rsidP="00E918C8">
      <w:pPr>
        <w:spacing w:before="120" w:after="120" w:line="264" w:lineRule="auto"/>
        <w:rPr>
          <w:rFonts w:eastAsia="Times New Roman"/>
          <w:szCs w:val="24"/>
          <w:lang w:eastAsia="en-AU"/>
        </w:rPr>
      </w:pPr>
      <w:r w:rsidRPr="00E918C8">
        <w:rPr>
          <w:rFonts w:eastAsia="Times New Roman"/>
          <w:szCs w:val="24"/>
          <w:lang w:eastAsia="en-AU"/>
        </w:rPr>
        <w:t xml:space="preserve">Australia is committed to the full and equal enjoyment of all human rights for people with disability, including access to rewarding and dignified employment. The CRPD considers a universal access approach to all aspects of civil, political, social, economic and cultural life, and promotes equity and fairness for all people with disability. </w:t>
      </w:r>
      <w:r w:rsidR="00294BE5">
        <w:rPr>
          <w:rFonts w:eastAsia="Times New Roman"/>
          <w:szCs w:val="24"/>
          <w:lang w:eastAsia="en-AU"/>
        </w:rPr>
        <w:br/>
      </w:r>
      <w:r w:rsidRPr="00E918C8">
        <w:rPr>
          <w:rFonts w:eastAsia="Times New Roman"/>
          <w:szCs w:val="24"/>
          <w:lang w:eastAsia="en-AU"/>
        </w:rPr>
        <w:t>Article 27 of the CRPD Work and Employment, requires that ‘States Parties recognise the right of persons with disabilities to work, on an equal basis with others</w:t>
      </w:r>
      <w:r w:rsidR="00ED6DC4">
        <w:rPr>
          <w:rFonts w:eastAsia="Times New Roman"/>
          <w:szCs w:val="24"/>
          <w:lang w:eastAsia="en-AU"/>
        </w:rPr>
        <w:t>.’</w:t>
      </w:r>
      <w:r w:rsidR="00CC6939">
        <w:rPr>
          <w:rStyle w:val="EndnoteReference"/>
          <w:rFonts w:eastAsia="Times New Roman"/>
          <w:szCs w:val="24"/>
          <w:lang w:eastAsia="en-AU"/>
        </w:rPr>
        <w:endnoteReference w:id="11"/>
      </w:r>
      <w:r w:rsidR="00150F7F">
        <w:rPr>
          <w:rFonts w:eastAsia="Times New Roman"/>
          <w:szCs w:val="24"/>
          <w:lang w:eastAsia="en-AU"/>
        </w:rPr>
        <w:t xml:space="preserve"> </w:t>
      </w:r>
      <w:r w:rsidRPr="00E918C8">
        <w:rPr>
          <w:rFonts w:eastAsia="Times New Roman"/>
          <w:szCs w:val="24"/>
          <w:lang w:eastAsia="en-AU"/>
        </w:rPr>
        <w:t>Australia ratified the CRPD in 2008 and is therefore committed to promoting and protecting the articles contained within it.</w:t>
      </w:r>
    </w:p>
    <w:p w14:paraId="28ACD83C" w14:textId="77777777" w:rsidR="00E918C8" w:rsidRPr="00E918C8" w:rsidRDefault="00E918C8" w:rsidP="00E918C8">
      <w:pPr>
        <w:spacing w:before="120" w:after="120" w:line="264" w:lineRule="auto"/>
        <w:rPr>
          <w:rFonts w:eastAsia="Times New Roman"/>
          <w:szCs w:val="24"/>
          <w:lang w:eastAsia="en-AU"/>
        </w:rPr>
      </w:pPr>
      <w:r w:rsidRPr="00E918C8">
        <w:rPr>
          <w:rFonts w:eastAsia="Times New Roman"/>
          <w:szCs w:val="24"/>
          <w:lang w:eastAsia="en-AU"/>
        </w:rPr>
        <w:t>Additionally, the domestic legal framework in Australia includes the DDA and Fair Work Act which prohibit employment discrimination on the basis of disability. Section 15 of the DDA makes specific provision that it is ‘unlawful for an employer or a person acting or purporting to act on behalf of an employer to discriminate against a person on the ground of the other person’s disability.</w:t>
      </w:r>
      <w:r w:rsidR="00CC6939">
        <w:rPr>
          <w:rStyle w:val="EndnoteReference"/>
          <w:rFonts w:eastAsia="Times New Roman"/>
          <w:szCs w:val="24"/>
          <w:lang w:eastAsia="en-AU"/>
        </w:rPr>
        <w:endnoteReference w:id="12"/>
      </w:r>
      <w:r w:rsidRPr="00E918C8">
        <w:rPr>
          <w:rFonts w:eastAsia="Times New Roman"/>
          <w:szCs w:val="24"/>
          <w:lang w:eastAsia="en-AU"/>
        </w:rPr>
        <w:t>’ Embedded within the principles and values of the CPRD, the NDIS is set to be one of the most significant reforms in disability policy in Australia’s history. While the NDIS does not provide specific funding for employment support for people with disability, it does provide a range of services and supports that have the potential to empower and enhance the capacity of people with disability to achieve their career aspirations. A recent analysis of the potential scale of NDIS economic benefits suggests that when fully implemented the NDIS will lead to between 25,000 and 40,000 new jobs for persons with disability.</w:t>
      </w:r>
      <w:r w:rsidRPr="00E918C8">
        <w:rPr>
          <w:rFonts w:eastAsia="Times New Roman"/>
          <w:szCs w:val="24"/>
          <w:vertAlign w:val="superscript"/>
          <w:lang w:eastAsia="en-AU"/>
        </w:rPr>
        <w:endnoteReference w:id="13"/>
      </w:r>
      <w:r w:rsidRPr="00E918C8">
        <w:rPr>
          <w:rFonts w:eastAsia="Times New Roman"/>
          <w:szCs w:val="24"/>
          <w:lang w:eastAsia="en-AU"/>
        </w:rPr>
        <w:t xml:space="preserve">    </w:t>
      </w:r>
    </w:p>
    <w:p w14:paraId="09F04E37" w14:textId="77777777" w:rsidR="0018766D" w:rsidRDefault="00E918C8" w:rsidP="00E918C8">
      <w:pPr>
        <w:spacing w:before="120" w:after="120" w:line="264" w:lineRule="auto"/>
        <w:rPr>
          <w:rFonts w:eastAsia="Times New Roman"/>
          <w:szCs w:val="24"/>
          <w:lang w:eastAsia="en-AU"/>
        </w:rPr>
      </w:pPr>
      <w:r w:rsidRPr="00E918C8">
        <w:rPr>
          <w:rFonts w:eastAsia="Times New Roman"/>
          <w:szCs w:val="24"/>
          <w:lang w:eastAsia="en-AU"/>
        </w:rPr>
        <w:lastRenderedPageBreak/>
        <w:t xml:space="preserve">While the APS has taken steps to improve the </w:t>
      </w:r>
      <w:r w:rsidR="00C92034">
        <w:rPr>
          <w:rFonts w:eastAsia="Times New Roman"/>
          <w:szCs w:val="24"/>
          <w:lang w:eastAsia="en-AU"/>
        </w:rPr>
        <w:t>inclusion</w:t>
      </w:r>
      <w:r w:rsidRPr="00E918C8">
        <w:rPr>
          <w:rFonts w:eastAsia="Times New Roman"/>
          <w:szCs w:val="24"/>
          <w:lang w:eastAsia="en-AU"/>
        </w:rPr>
        <w:t xml:space="preserve"> of people with disability, </w:t>
      </w:r>
      <w:r w:rsidR="00853BF7">
        <w:rPr>
          <w:rFonts w:eastAsia="Times New Roman"/>
          <w:szCs w:val="24"/>
          <w:lang w:eastAsia="en-AU"/>
        </w:rPr>
        <w:t xml:space="preserve">through </w:t>
      </w:r>
      <w:r w:rsidRPr="00E918C8">
        <w:rPr>
          <w:rFonts w:eastAsia="Times New Roman"/>
          <w:szCs w:val="24"/>
          <w:lang w:eastAsia="en-AU"/>
        </w:rPr>
        <w:t>implement</w:t>
      </w:r>
      <w:r w:rsidR="00853BF7">
        <w:rPr>
          <w:rFonts w:eastAsia="Times New Roman"/>
          <w:szCs w:val="24"/>
          <w:lang w:eastAsia="en-AU"/>
        </w:rPr>
        <w:t>ation of</w:t>
      </w:r>
      <w:r w:rsidRPr="00E918C8">
        <w:rPr>
          <w:rFonts w:eastAsia="Times New Roman"/>
          <w:szCs w:val="24"/>
          <w:lang w:eastAsia="en-AU"/>
        </w:rPr>
        <w:t xml:space="preserve"> the </w:t>
      </w:r>
      <w:r w:rsidRPr="00E918C8">
        <w:rPr>
          <w:rFonts w:eastAsia="Times New Roman"/>
          <w:i/>
          <w:szCs w:val="24"/>
          <w:lang w:eastAsia="en-AU"/>
        </w:rPr>
        <w:t xml:space="preserve">As One: Making it Happen APS Disability Employment Strategy 2016–19, </w:t>
      </w:r>
      <w:r w:rsidRPr="00E918C8">
        <w:rPr>
          <w:rFonts w:eastAsia="Times New Roman"/>
          <w:szCs w:val="24"/>
          <w:lang w:eastAsia="en-AU"/>
        </w:rPr>
        <w:t>there is still much work to be done</w:t>
      </w:r>
      <w:r w:rsidRPr="00E918C8">
        <w:rPr>
          <w:rFonts w:eastAsia="Times New Roman"/>
          <w:i/>
          <w:szCs w:val="24"/>
          <w:lang w:eastAsia="en-AU"/>
        </w:rPr>
        <w:t xml:space="preserve">. </w:t>
      </w:r>
      <w:r w:rsidRPr="00E918C8">
        <w:rPr>
          <w:rFonts w:eastAsia="Times New Roman"/>
          <w:szCs w:val="24"/>
          <w:lang w:eastAsia="en-AU"/>
        </w:rPr>
        <w:t>According to recent estimates, the majority of APS employees w</w:t>
      </w:r>
      <w:r w:rsidR="000268BB">
        <w:rPr>
          <w:rFonts w:eastAsia="Times New Roman"/>
          <w:szCs w:val="24"/>
          <w:lang w:eastAsia="en-AU"/>
        </w:rPr>
        <w:t xml:space="preserve">ho identify as having a </w:t>
      </w:r>
      <w:r w:rsidRPr="00E918C8">
        <w:rPr>
          <w:rFonts w:eastAsia="Times New Roman"/>
          <w:szCs w:val="24"/>
          <w:lang w:eastAsia="en-AU"/>
        </w:rPr>
        <w:t>disability are clustered at mid-level classification level APS 4 and APS 6 at 26.2 per cent and 21 per cent respectively.</w:t>
      </w:r>
      <w:r w:rsidRPr="00E918C8">
        <w:rPr>
          <w:rFonts w:eastAsia="Times New Roman"/>
          <w:szCs w:val="24"/>
          <w:vertAlign w:val="superscript"/>
          <w:lang w:eastAsia="en-AU"/>
        </w:rPr>
        <w:endnoteReference w:id="14"/>
      </w:r>
      <w:r w:rsidRPr="00E918C8">
        <w:rPr>
          <w:rFonts w:eastAsia="Times New Roman"/>
          <w:szCs w:val="24"/>
          <w:lang w:eastAsia="en-AU"/>
        </w:rPr>
        <w:t xml:space="preserve"> The average age of APS employees w</w:t>
      </w:r>
      <w:r w:rsidR="000268BB">
        <w:rPr>
          <w:rFonts w:eastAsia="Times New Roman"/>
          <w:szCs w:val="24"/>
          <w:lang w:eastAsia="en-AU"/>
        </w:rPr>
        <w:t>ho identify as having a</w:t>
      </w:r>
      <w:r w:rsidRPr="00E918C8">
        <w:rPr>
          <w:rFonts w:eastAsia="Times New Roman"/>
          <w:szCs w:val="24"/>
          <w:lang w:eastAsia="en-AU"/>
        </w:rPr>
        <w:t xml:space="preserve"> disability is 47.2 years, compared to 43.4 years for the remainder of the APS workforce.</w:t>
      </w:r>
      <w:r w:rsidR="00CC6939">
        <w:rPr>
          <w:rStyle w:val="EndnoteReference"/>
          <w:rFonts w:eastAsia="Times New Roman"/>
          <w:szCs w:val="24"/>
          <w:lang w:eastAsia="en-AU"/>
        </w:rPr>
        <w:endnoteReference w:id="15"/>
      </w:r>
      <w:r w:rsidRPr="00E918C8">
        <w:rPr>
          <w:rFonts w:eastAsia="Times New Roman"/>
          <w:szCs w:val="24"/>
          <w:lang w:eastAsia="en-AU"/>
        </w:rPr>
        <w:t xml:space="preserve"> </w:t>
      </w:r>
    </w:p>
    <w:p w14:paraId="62F55458" w14:textId="4BCD12E0" w:rsidR="008B3F54" w:rsidRDefault="008B3F54" w:rsidP="002947C3">
      <w:pPr>
        <w:pStyle w:val="BodyText"/>
      </w:pPr>
      <w:r>
        <w:t>Evidence</w:t>
      </w:r>
      <w:r w:rsidR="00E918C8" w:rsidRPr="00E918C8">
        <w:t xml:space="preserve"> suggests that people w</w:t>
      </w:r>
      <w:r w:rsidR="000268BB">
        <w:t>ho</w:t>
      </w:r>
      <w:r>
        <w:t xml:space="preserve"> are employed </w:t>
      </w:r>
      <w:r w:rsidR="007D6C9F">
        <w:t xml:space="preserve">by </w:t>
      </w:r>
      <w:r>
        <w:t>the APS and</w:t>
      </w:r>
      <w:r w:rsidR="000268BB">
        <w:t xml:space="preserve"> identify as having a</w:t>
      </w:r>
      <w:r w:rsidR="00E918C8" w:rsidRPr="00E918C8">
        <w:t xml:space="preserve"> disability are of mature age, with significant skills and valuable years of work experience. Comparatively, the proportion of employees with disability is considerably less at the Trainee, Graduate and APS</w:t>
      </w:r>
      <w:r w:rsidR="00CC6939">
        <w:t xml:space="preserve"> </w:t>
      </w:r>
      <w:r w:rsidR="00E918C8" w:rsidRPr="00E918C8">
        <w:t>1 and APS</w:t>
      </w:r>
      <w:r w:rsidR="00CC6939">
        <w:t xml:space="preserve"> </w:t>
      </w:r>
      <w:r w:rsidR="00A21876">
        <w:t>2 level classifications.</w:t>
      </w:r>
    </w:p>
    <w:p w14:paraId="78B18EEE" w14:textId="77777777" w:rsidR="00E918C8" w:rsidRPr="002947C3" w:rsidRDefault="00E918C8" w:rsidP="002947C3">
      <w:pPr>
        <w:pStyle w:val="BodyText"/>
      </w:pPr>
      <w:r w:rsidRPr="00E918C8">
        <w:t>Th</w:t>
      </w:r>
      <w:r w:rsidR="008B3F54">
        <w:t xml:space="preserve">is </w:t>
      </w:r>
      <w:r w:rsidRPr="00E918C8">
        <w:t>demonstrates that there are inadequate career pathways for young people w</w:t>
      </w:r>
      <w:r w:rsidR="000268BB">
        <w:t xml:space="preserve">ho identify as having a </w:t>
      </w:r>
      <w:r w:rsidRPr="00E918C8">
        <w:t>disability entering into the APS workforce. Additionally, the proportion of people w</w:t>
      </w:r>
      <w:r w:rsidR="000268BB">
        <w:t>ho identify as having a</w:t>
      </w:r>
      <w:r w:rsidRPr="00E918C8">
        <w:t xml:space="preserve"> disability steadily declines at the Executive Level and Senior Executive Service level classifications, indicating insufficient access to opportunities for promotion, training and professional development.</w:t>
      </w:r>
    </w:p>
    <w:p w14:paraId="4EC52DEE" w14:textId="77777777" w:rsidR="002171B6" w:rsidRPr="00E918C8" w:rsidRDefault="002171B6" w:rsidP="002171B6">
      <w:pPr>
        <w:pStyle w:val="BodyText"/>
      </w:pPr>
      <w:r>
        <w:t>R</w:t>
      </w:r>
      <w:r w:rsidR="00E918C8" w:rsidRPr="00E918C8">
        <w:t>ecruitment practices can act as a significant barrier to employment for people who are blind or vision impaired and people with disability more broadly. As such, it is integral that the concept of ‘reasonable adjustment’ in inclusion planning</w:t>
      </w:r>
      <w:r>
        <w:t xml:space="preserve"> is</w:t>
      </w:r>
      <w:r w:rsidR="00E918C8" w:rsidRPr="00E918C8">
        <w:t xml:space="preserve"> extended to ensure recruiting departments are actively encouraged to provide support to candidates with a disability. </w:t>
      </w:r>
      <w:r w:rsidRPr="00E918C8">
        <w:t>Additionally</w:t>
      </w:r>
      <w:r>
        <w:t>, while</w:t>
      </w:r>
      <w:r w:rsidRPr="002171B6">
        <w:t xml:space="preserve"> </w:t>
      </w:r>
      <w:r w:rsidRPr="00E918C8">
        <w:t>people who are blind or vision impaired may require adaptive technology to assist them with performing work functions</w:t>
      </w:r>
      <w:r>
        <w:t xml:space="preserve">, </w:t>
      </w:r>
      <w:r w:rsidRPr="00E918C8">
        <w:t>ICT procurement policies can act as a barrier to workforce participation for people with disability</w:t>
      </w:r>
      <w:r>
        <w:t>. However, many programs</w:t>
      </w:r>
      <w:r w:rsidRPr="00E918C8">
        <w:t xml:space="preserve"> subsidise the aids and equipment required to continue performing productively in the work place.   </w:t>
      </w:r>
    </w:p>
    <w:p w14:paraId="7D7FEBD5" w14:textId="77777777" w:rsidR="00E918C8" w:rsidRPr="00E918C8" w:rsidRDefault="00E918C8" w:rsidP="00E918C8">
      <w:pPr>
        <w:keepNext/>
        <w:keepLines/>
        <w:spacing w:before="240" w:after="120"/>
        <w:outlineLvl w:val="1"/>
        <w:rPr>
          <w:rFonts w:eastAsia="Times New Roman" w:cs="Arial"/>
          <w:bCs/>
          <w:iCs/>
          <w:color w:val="004B8D"/>
          <w:sz w:val="28"/>
          <w:szCs w:val="28"/>
          <w:lang w:eastAsia="en-AU"/>
        </w:rPr>
      </w:pPr>
      <w:r w:rsidRPr="00E918C8">
        <w:rPr>
          <w:rFonts w:eastAsia="Times New Roman" w:cs="Arial"/>
          <w:bCs/>
          <w:iCs/>
          <w:color w:val="004B8D"/>
          <w:sz w:val="28"/>
          <w:szCs w:val="28"/>
          <w:lang w:eastAsia="en-AU"/>
        </w:rPr>
        <w:t>Vision 2020 Australia</w:t>
      </w:r>
    </w:p>
    <w:p w14:paraId="2F874B8E" w14:textId="77777777" w:rsidR="00310048" w:rsidRDefault="00E918C8" w:rsidP="00E918C8">
      <w:pPr>
        <w:spacing w:before="120" w:after="120" w:line="264" w:lineRule="auto"/>
        <w:rPr>
          <w:rFonts w:eastAsia="Times New Roman"/>
          <w:szCs w:val="24"/>
          <w:lang w:eastAsia="en-AU"/>
        </w:rPr>
      </w:pPr>
      <w:r w:rsidRPr="00E918C8">
        <w:rPr>
          <w:rFonts w:eastAsia="Times New Roman"/>
          <w:szCs w:val="24"/>
          <w:lang w:eastAsia="en-AU"/>
        </w:rPr>
        <w:t xml:space="preserve">Established in October 2000, Vision 2020 Australia is part of </w:t>
      </w:r>
      <w:r w:rsidRPr="00E918C8">
        <w:rPr>
          <w:rFonts w:eastAsia="Times New Roman"/>
          <w:i/>
          <w:szCs w:val="24"/>
          <w:lang w:eastAsia="en-AU"/>
        </w:rPr>
        <w:t>VISION 2020: The Right to Sight</w:t>
      </w:r>
      <w:r w:rsidRPr="00E918C8">
        <w:rPr>
          <w:rFonts w:eastAsia="Times New Roman"/>
          <w:szCs w:val="24"/>
          <w:lang w:eastAsia="en-AU"/>
        </w:rPr>
        <w:t>, a global initiative of the World Health Organi</w:t>
      </w:r>
      <w:r w:rsidR="002171B6">
        <w:rPr>
          <w:rFonts w:eastAsia="Times New Roman"/>
          <w:szCs w:val="24"/>
          <w:lang w:eastAsia="en-AU"/>
        </w:rPr>
        <w:t>z</w:t>
      </w:r>
      <w:r w:rsidRPr="00E918C8">
        <w:rPr>
          <w:rFonts w:eastAsia="Times New Roman"/>
          <w:szCs w:val="24"/>
          <w:lang w:eastAsia="en-AU"/>
        </w:rPr>
        <w:t xml:space="preserve">ation and the International Agency for the Prevention of Blindness. Vision 2020 Australia is the peak body for the eye health and vision care sector, representing </w:t>
      </w:r>
      <w:r w:rsidR="002171B6">
        <w:rPr>
          <w:rFonts w:eastAsia="Times New Roman"/>
          <w:szCs w:val="24"/>
          <w:lang w:eastAsia="en-AU"/>
        </w:rPr>
        <w:t>around</w:t>
      </w:r>
      <w:r w:rsidR="002171B6" w:rsidRPr="00E918C8">
        <w:rPr>
          <w:rFonts w:eastAsia="Times New Roman"/>
          <w:szCs w:val="24"/>
          <w:lang w:eastAsia="en-AU"/>
        </w:rPr>
        <w:t xml:space="preserve"> </w:t>
      </w:r>
      <w:r w:rsidRPr="00E918C8">
        <w:rPr>
          <w:rFonts w:eastAsia="Times New Roman"/>
          <w:szCs w:val="24"/>
          <w:lang w:eastAsia="en-AU"/>
        </w:rPr>
        <w:t>50 member organisations involved in: local and global eye care; health promotion; low vision support; vision rehabilitation; eye research; professional assistance and community support.</w:t>
      </w:r>
    </w:p>
    <w:p w14:paraId="746A661E" w14:textId="77777777" w:rsidR="00310048" w:rsidRDefault="00310048" w:rsidP="00310048">
      <w:pPr>
        <w:pStyle w:val="Heading3"/>
      </w:pPr>
      <w:r>
        <w:t xml:space="preserve">The Vision 2020 Australia Independence and Participation Committee </w:t>
      </w:r>
    </w:p>
    <w:p w14:paraId="30DC7D71" w14:textId="26BCA82A" w:rsidR="00EA5F73" w:rsidRDefault="00E918C8" w:rsidP="00E918C8">
      <w:pPr>
        <w:spacing w:before="120" w:after="120" w:line="264" w:lineRule="auto"/>
        <w:rPr>
          <w:rFonts w:eastAsia="Times New Roman"/>
          <w:szCs w:val="24"/>
          <w:lang w:eastAsia="en-AU"/>
        </w:rPr>
      </w:pPr>
      <w:r w:rsidRPr="00E918C8">
        <w:rPr>
          <w:rFonts w:eastAsia="Times New Roman"/>
          <w:szCs w:val="24"/>
          <w:lang w:eastAsia="en-AU"/>
        </w:rPr>
        <w:t>Vision 2020 Australia’s Independence and Participation Committee (the Committee) brings together a diverse group of members providing services and supports to people who are blind or vision impaired across Australia; enabling an unique platform for stakeholders to collaborate, foster consensus and develop a shared understanding on matters of significance affecting member organisations and consumers. Through drawing on the knowledge, experience, and resources of the Committee’s broad and inclusive membership, the Committee is central to supporting one of Vision 2020 Australia’s key roles as an effective conduit to government, offering a unified and consistent voice.</w:t>
      </w:r>
    </w:p>
    <w:p w14:paraId="2E8C19D7" w14:textId="7C0507E9" w:rsidR="00DE0593" w:rsidRDefault="00DE0593">
      <w:pPr>
        <w:rPr>
          <w:rFonts w:eastAsia="Times New Roman"/>
          <w:szCs w:val="24"/>
          <w:lang w:eastAsia="en-AU"/>
        </w:rPr>
      </w:pPr>
      <w:r>
        <w:rPr>
          <w:rFonts w:eastAsia="Times New Roman"/>
          <w:szCs w:val="24"/>
          <w:lang w:eastAsia="en-AU"/>
        </w:rPr>
        <w:br w:type="page"/>
      </w:r>
    </w:p>
    <w:p w14:paraId="680D61D7" w14:textId="77777777" w:rsidR="00DE0593" w:rsidRPr="00E918C8" w:rsidRDefault="00DE0593" w:rsidP="00E918C8">
      <w:pPr>
        <w:spacing w:before="120" w:after="120" w:line="264" w:lineRule="auto"/>
        <w:rPr>
          <w:rFonts w:eastAsia="Times New Roman"/>
          <w:szCs w:val="24"/>
          <w:lang w:eastAsia="en-AU"/>
        </w:rPr>
      </w:pPr>
    </w:p>
    <w:sectPr w:rsidR="00DE0593" w:rsidRPr="00E918C8" w:rsidSect="002947C3">
      <w:headerReference w:type="even" r:id="rId8"/>
      <w:headerReference w:type="default" r:id="rId9"/>
      <w:footerReference w:type="even" r:id="rId10"/>
      <w:footerReference w:type="default" r:id="rId11"/>
      <w:headerReference w:type="first" r:id="rId12"/>
      <w:footerReference w:type="first" r:id="rId13"/>
      <w:pgSz w:w="11906" w:h="16838" w:code="9"/>
      <w:pgMar w:top="1276" w:right="1985" w:bottom="0"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0B1D73" w14:textId="77777777" w:rsidR="009B40A3" w:rsidRDefault="009B40A3" w:rsidP="00185154">
      <w:r>
        <w:separator/>
      </w:r>
    </w:p>
    <w:p w14:paraId="7675BB03" w14:textId="77777777" w:rsidR="009B40A3" w:rsidRDefault="009B40A3"/>
  </w:endnote>
  <w:endnote w:type="continuationSeparator" w:id="0">
    <w:p w14:paraId="5E698190" w14:textId="77777777" w:rsidR="009B40A3" w:rsidRDefault="009B40A3" w:rsidP="00185154">
      <w:r>
        <w:continuationSeparator/>
      </w:r>
    </w:p>
    <w:p w14:paraId="109C6169" w14:textId="77777777" w:rsidR="009B40A3" w:rsidRDefault="009B40A3"/>
  </w:endnote>
  <w:endnote w:id="1">
    <w:p w14:paraId="028DE52B" w14:textId="77777777" w:rsidR="00EB2DA9" w:rsidRDefault="00EB2DA9" w:rsidP="00E918C8">
      <w:pPr>
        <w:pStyle w:val="EndnoteText"/>
      </w:pPr>
      <w:r>
        <w:rPr>
          <w:rStyle w:val="EndnoteReference"/>
        </w:rPr>
        <w:endnoteRef/>
      </w:r>
      <w:r>
        <w:t xml:space="preserve"> Australian Bureau of Statistics, </w:t>
      </w:r>
      <w:r w:rsidRPr="00DE0593">
        <w:rPr>
          <w:i/>
        </w:rPr>
        <w:t>Disability, Ageing and Carers, Australia: First Results</w:t>
      </w:r>
      <w:r w:rsidRPr="00D54CBF">
        <w:t>, 2015</w:t>
      </w:r>
      <w:r>
        <w:t xml:space="preserve">, available at </w:t>
      </w:r>
      <w:hyperlink r:id="rId1" w:history="1">
        <w:r w:rsidRPr="00D54CBF">
          <w:t>http://www.abs.gov.au/ausstats/abs@.nsf/mf/4430.0.10.001</w:t>
        </w:r>
      </w:hyperlink>
      <w:r>
        <w:t xml:space="preserve"> </w:t>
      </w:r>
    </w:p>
  </w:endnote>
  <w:endnote w:id="2">
    <w:p w14:paraId="189D605D" w14:textId="4F2DD48E" w:rsidR="00EB2DA9" w:rsidRDefault="00EB2DA9" w:rsidP="00E918C8">
      <w:pPr>
        <w:pStyle w:val="EndnoteText"/>
      </w:pPr>
      <w:r>
        <w:rPr>
          <w:rStyle w:val="EndnoteReference"/>
        </w:rPr>
        <w:endnoteRef/>
      </w:r>
      <w:r>
        <w:t xml:space="preserve"> </w:t>
      </w:r>
      <w:r w:rsidRPr="00D54CBF">
        <w:t xml:space="preserve">Vision Australia, </w:t>
      </w:r>
      <w:r w:rsidR="00DE0593" w:rsidRPr="00D54CBF">
        <w:t>Research and Measures Team</w:t>
      </w:r>
      <w:r w:rsidR="00DE0593">
        <w:t>,</w:t>
      </w:r>
      <w:r w:rsidR="00DE0593" w:rsidRPr="00D54CBF">
        <w:t xml:space="preserve"> </w:t>
      </w:r>
      <w:r w:rsidRPr="00DE0593">
        <w:rPr>
          <w:i/>
        </w:rPr>
        <w:t>Employment Research Survey Report</w:t>
      </w:r>
      <w:r w:rsidRPr="00D54CBF">
        <w:t xml:space="preserve">, May 2012.  </w:t>
      </w:r>
    </w:p>
  </w:endnote>
  <w:endnote w:id="3">
    <w:p w14:paraId="68869D09" w14:textId="77777777" w:rsidR="00EB2DA9" w:rsidRDefault="00EB2DA9" w:rsidP="00E918C8">
      <w:pPr>
        <w:pStyle w:val="EndnoteText"/>
      </w:pPr>
      <w:r w:rsidRPr="003445E8">
        <w:endnoteRef/>
      </w:r>
      <w:r>
        <w:t xml:space="preserve"> </w:t>
      </w:r>
      <w:r w:rsidRPr="00D54CBF">
        <w:t xml:space="preserve">Australian Government Productivity Report, Disability Care and Support, August 2011, available at   </w:t>
      </w:r>
      <w:r w:rsidRPr="003445E8">
        <w:t>http://www.pc.gov.au/inquiries/completed/disability-support/report</w:t>
      </w:r>
    </w:p>
  </w:endnote>
  <w:endnote w:id="4">
    <w:p w14:paraId="0F435D88" w14:textId="77777777" w:rsidR="00EB2DA9" w:rsidRDefault="00EB2DA9" w:rsidP="00E918C8">
      <w:pPr>
        <w:pStyle w:val="EndnoteText"/>
      </w:pPr>
      <w:r w:rsidRPr="003445E8">
        <w:endnoteRef/>
      </w:r>
      <w:r>
        <w:t xml:space="preserve"> </w:t>
      </w:r>
      <w:r w:rsidRPr="00D54CBF">
        <w:t xml:space="preserve">Australian Government: Australian Public Service Commission, </w:t>
      </w:r>
      <w:r w:rsidRPr="00A84007">
        <w:rPr>
          <w:i/>
        </w:rPr>
        <w:t>Employment of people with disability in the APS</w:t>
      </w:r>
      <w:r w:rsidRPr="00D54CBF">
        <w:t xml:space="preserve">, August 2012, available at </w:t>
      </w:r>
      <w:hyperlink r:id="rId2" w:history="1">
        <w:r w:rsidRPr="003445E8">
          <w:t>http://www.apsc.gov.au/publications-and-media/archive/publications-archive/people-with-disability</w:t>
        </w:r>
      </w:hyperlink>
      <w:r w:rsidRPr="003445E8">
        <w:t xml:space="preserve"> </w:t>
      </w:r>
    </w:p>
  </w:endnote>
  <w:endnote w:id="5">
    <w:p w14:paraId="2667D62B" w14:textId="77777777" w:rsidR="00EB2DA9" w:rsidRDefault="00EB2DA9" w:rsidP="00E918C8">
      <w:pPr>
        <w:pStyle w:val="EndnoteText"/>
      </w:pPr>
      <w:r w:rsidRPr="003445E8">
        <w:endnoteRef/>
      </w:r>
      <w:r>
        <w:t xml:space="preserve"> </w:t>
      </w:r>
      <w:r w:rsidRPr="00D54CBF">
        <w:t xml:space="preserve">Australian Government: Australian Public Service Commission, </w:t>
      </w:r>
      <w:r w:rsidRPr="00A84007">
        <w:rPr>
          <w:i/>
        </w:rPr>
        <w:t>State of the Service Report 2014-15</w:t>
      </w:r>
      <w:r w:rsidRPr="00D54CBF">
        <w:t xml:space="preserve">, available here </w:t>
      </w:r>
      <w:hyperlink r:id="rId3" w:anchor="Table2" w:history="1">
        <w:r w:rsidRPr="003445E8">
          <w:t>https://stateoftheservice.apsc.gov.au/learn-more/representation-of-people-with-disability-data/#Table2</w:t>
        </w:r>
      </w:hyperlink>
      <w:r w:rsidRPr="003445E8">
        <w:t xml:space="preserve">  </w:t>
      </w:r>
    </w:p>
  </w:endnote>
  <w:endnote w:id="6">
    <w:p w14:paraId="25712018" w14:textId="4B1F141C" w:rsidR="00DE0593" w:rsidRPr="00DE0593" w:rsidRDefault="00DE0593" w:rsidP="00DE0593">
      <w:pPr>
        <w:pStyle w:val="EndnoteText"/>
      </w:pPr>
      <w:r>
        <w:rPr>
          <w:rStyle w:val="EndnoteReference"/>
        </w:rPr>
        <w:endnoteRef/>
      </w:r>
      <w:r>
        <w:t xml:space="preserve">  </w:t>
      </w:r>
      <w:r w:rsidR="00A84007">
        <w:t xml:space="preserve">Vision Australia’s </w:t>
      </w:r>
      <w:r w:rsidR="00A84007">
        <w:rPr>
          <w:i/>
        </w:rPr>
        <w:t xml:space="preserve">Employment Research Survey report 2012 </w:t>
      </w:r>
      <w:r w:rsidRPr="00DE0593">
        <w:t>surveyed 600 of Vision Australia’s clients, so</w:t>
      </w:r>
      <w:r w:rsidR="00A84007">
        <w:t xml:space="preserve"> </w:t>
      </w:r>
      <w:r w:rsidRPr="00DE0593">
        <w:t xml:space="preserve">conclusions </w:t>
      </w:r>
      <w:r w:rsidR="00A84007">
        <w:t xml:space="preserve">that </w:t>
      </w:r>
      <w:r w:rsidRPr="00DE0593">
        <w:t>can be drawn from this sample are limited.</w:t>
      </w:r>
    </w:p>
  </w:endnote>
  <w:endnote w:id="7">
    <w:p w14:paraId="788FE617" w14:textId="0F97611F" w:rsidR="00EB2DA9" w:rsidRPr="00150F7F" w:rsidRDefault="00EB2DA9">
      <w:pPr>
        <w:pStyle w:val="EndnoteText"/>
        <w:rPr>
          <w:color w:val="FF0000"/>
          <w:lang w:val="en-US"/>
        </w:rPr>
      </w:pPr>
      <w:r w:rsidRPr="00F63EC4">
        <w:rPr>
          <w:rStyle w:val="EndnoteReference"/>
        </w:rPr>
        <w:endnoteRef/>
      </w:r>
      <w:r w:rsidRPr="00F63EC4">
        <w:t xml:space="preserve"> </w:t>
      </w:r>
      <w:r w:rsidR="00F63EC4" w:rsidRPr="00F63EC4">
        <w:t>Vision</w:t>
      </w:r>
      <w:r w:rsidR="00F63EC4" w:rsidRPr="00D54CBF">
        <w:t xml:space="preserve"> Australia, </w:t>
      </w:r>
      <w:r w:rsidR="00F63EC4" w:rsidRPr="00A84007">
        <w:rPr>
          <w:i/>
        </w:rPr>
        <w:t>Employment Research Survey Report</w:t>
      </w:r>
      <w:r w:rsidR="00A84007">
        <w:rPr>
          <w:i/>
        </w:rPr>
        <w:t xml:space="preserve"> 2012</w:t>
      </w:r>
      <w:r w:rsidR="00F63EC4" w:rsidRPr="00D54CBF">
        <w:t xml:space="preserve">, </w:t>
      </w:r>
      <w:r w:rsidR="00F63EC4">
        <w:t xml:space="preserve">and Australian Bureau of Statistics, </w:t>
      </w:r>
      <w:r w:rsidR="00F63EC4" w:rsidRPr="00A84007">
        <w:rPr>
          <w:i/>
        </w:rPr>
        <w:t>Labour Force, Australia: August 2017</w:t>
      </w:r>
      <w:r w:rsidR="00F63EC4">
        <w:t xml:space="preserve">, available at </w:t>
      </w:r>
      <w:r w:rsidR="00F63EC4" w:rsidRPr="00F63EC4">
        <w:t>http://www.abs.gov.au/ausstats/abs@.nsf/mf/6202.0</w:t>
      </w:r>
      <w:r w:rsidR="00F63EC4">
        <w:t xml:space="preserve"> </w:t>
      </w:r>
    </w:p>
  </w:endnote>
  <w:endnote w:id="8">
    <w:p w14:paraId="4651A212" w14:textId="69E159B5" w:rsidR="00DE0593" w:rsidRDefault="00DE0593">
      <w:pPr>
        <w:pStyle w:val="EndnoteText"/>
      </w:pPr>
      <w:r>
        <w:rPr>
          <w:rStyle w:val="EndnoteReference"/>
        </w:rPr>
        <w:endnoteRef/>
      </w:r>
      <w:r>
        <w:t xml:space="preserve"> </w:t>
      </w:r>
      <w:r w:rsidR="00A84007">
        <w:t>Personal communication</w:t>
      </w:r>
      <w:r w:rsidRPr="00DE0593">
        <w:t xml:space="preserve"> with Vision Australia staff, 24/1/18</w:t>
      </w:r>
    </w:p>
  </w:endnote>
  <w:endnote w:id="9">
    <w:p w14:paraId="437B0295" w14:textId="18D95662" w:rsidR="00EB2DA9" w:rsidRDefault="00EB2DA9" w:rsidP="00E918C8">
      <w:pPr>
        <w:pStyle w:val="EndnoteText"/>
      </w:pPr>
      <w:r>
        <w:rPr>
          <w:rStyle w:val="EndnoteReference"/>
        </w:rPr>
        <w:endnoteRef/>
      </w:r>
      <w:r>
        <w:t xml:space="preserve"> </w:t>
      </w:r>
      <w:r w:rsidRPr="00E2517B">
        <w:t xml:space="preserve">Vision Australia, </w:t>
      </w:r>
      <w:r w:rsidRPr="00A84007">
        <w:rPr>
          <w:i/>
        </w:rPr>
        <w:t>Employment Research Survey Report</w:t>
      </w:r>
      <w:r w:rsidR="00A84007" w:rsidRPr="00A84007">
        <w:rPr>
          <w:i/>
        </w:rPr>
        <w:t xml:space="preserve"> 2012</w:t>
      </w:r>
      <w:r w:rsidRPr="00E2517B">
        <w:t xml:space="preserve">  </w:t>
      </w:r>
    </w:p>
  </w:endnote>
  <w:endnote w:id="10">
    <w:p w14:paraId="5013132E" w14:textId="7D1AEE80" w:rsidR="00A84007" w:rsidRDefault="00A84007">
      <w:pPr>
        <w:pStyle w:val="EndnoteText"/>
      </w:pPr>
      <w:r>
        <w:rPr>
          <w:rStyle w:val="EndnoteReference"/>
        </w:rPr>
        <w:endnoteRef/>
      </w:r>
      <w:r>
        <w:t xml:space="preserve"> Australian Human Rights Commission, </w:t>
      </w:r>
      <w:r>
        <w:rPr>
          <w:i/>
        </w:rPr>
        <w:t xml:space="preserve">Willing to Work: National Inquiry into Employment Discrimination Against Older Australians and Australians with Disability </w:t>
      </w:r>
      <w:r>
        <w:t>2016, p. 171</w:t>
      </w:r>
    </w:p>
  </w:endnote>
  <w:endnote w:id="11">
    <w:p w14:paraId="611EDC47" w14:textId="77777777" w:rsidR="00EB2DA9" w:rsidRDefault="00EB2DA9">
      <w:pPr>
        <w:pStyle w:val="EndnoteText"/>
      </w:pPr>
      <w:r>
        <w:rPr>
          <w:rStyle w:val="EndnoteReference"/>
        </w:rPr>
        <w:endnoteRef/>
      </w:r>
      <w:r>
        <w:t xml:space="preserve"> </w:t>
      </w:r>
      <w:r w:rsidRPr="00CC6939">
        <w:t>The United Nations Convention on the Rights of Persons with Disabilities, available at http://www.un.org/disabilities/convention/conventionfull.shtml</w:t>
      </w:r>
    </w:p>
  </w:endnote>
  <w:endnote w:id="12">
    <w:p w14:paraId="77F57AF0" w14:textId="0D5015E6" w:rsidR="00EB2DA9" w:rsidRDefault="00EB2DA9">
      <w:pPr>
        <w:pStyle w:val="EndnoteText"/>
      </w:pPr>
      <w:r>
        <w:rPr>
          <w:rStyle w:val="EndnoteReference"/>
        </w:rPr>
        <w:endnoteRef/>
      </w:r>
      <w:r>
        <w:t xml:space="preserve"> </w:t>
      </w:r>
      <w:r w:rsidRPr="00A84007">
        <w:rPr>
          <w:i/>
        </w:rPr>
        <w:t>Disability Discrimination Act 1992</w:t>
      </w:r>
      <w:r w:rsidRPr="00CC6939">
        <w:t>, available at https://www.legislation.gov.au/Details/C2015C00252</w:t>
      </w:r>
    </w:p>
  </w:endnote>
  <w:endnote w:id="13">
    <w:p w14:paraId="1F7A3FA7" w14:textId="77777777" w:rsidR="00EB2DA9" w:rsidRDefault="00EB2DA9" w:rsidP="00E918C8">
      <w:pPr>
        <w:pStyle w:val="EndnoteText"/>
      </w:pPr>
      <w:r>
        <w:rPr>
          <w:rStyle w:val="EndnoteReference"/>
        </w:rPr>
        <w:endnoteRef/>
      </w:r>
      <w:r>
        <w:t xml:space="preserve"> </w:t>
      </w:r>
      <w:r w:rsidRPr="0089463D">
        <w:t xml:space="preserve">Dr B Long, Senior Research Fellow for National Disability Services, Every Australian Counts and Centre for Applied Disability Research, </w:t>
      </w:r>
      <w:r w:rsidRPr="00A84007">
        <w:rPr>
          <w:i/>
        </w:rPr>
        <w:t>Economic Benefits of the NDIS</w:t>
      </w:r>
      <w:r w:rsidRPr="0089463D">
        <w:t>, May 2015, available at https://www.nds.org.au/policy/nds-report-projects-economic-benefits-of-the-ndis?_cldee=aGZpdHpzaW1tb25zQHZpc2lvbjIwMjBhdXN0cmFsaWEub3JnLmF1</w:t>
      </w:r>
    </w:p>
  </w:endnote>
  <w:endnote w:id="14">
    <w:p w14:paraId="2FE8A3E3" w14:textId="77777777" w:rsidR="00EB2DA9" w:rsidRDefault="00EB2DA9" w:rsidP="00E918C8">
      <w:pPr>
        <w:pStyle w:val="EndnoteText"/>
      </w:pPr>
      <w:r>
        <w:rPr>
          <w:rStyle w:val="EndnoteReference"/>
        </w:rPr>
        <w:endnoteRef/>
      </w:r>
      <w:r>
        <w:t xml:space="preserve"> </w:t>
      </w:r>
      <w:r w:rsidRPr="0089463D">
        <w:t xml:space="preserve">Australian Government: Australian Public Service Commission, </w:t>
      </w:r>
      <w:r w:rsidRPr="00A84007">
        <w:rPr>
          <w:i/>
        </w:rPr>
        <w:t>State of the Service Report 2014-15</w:t>
      </w:r>
      <w:r w:rsidRPr="0089463D">
        <w:t>, available here http://stateoftheservice.apsc.gov.au/learn-more/representation-of-people-with-disability-data/#Table2</w:t>
      </w:r>
    </w:p>
  </w:endnote>
  <w:endnote w:id="15">
    <w:p w14:paraId="0AE41A7A" w14:textId="77777777" w:rsidR="00EB2DA9" w:rsidRDefault="00EB2DA9">
      <w:pPr>
        <w:pStyle w:val="EndnoteText"/>
      </w:pPr>
      <w:r>
        <w:rPr>
          <w:rStyle w:val="EndnoteReference"/>
        </w:rPr>
        <w:endnoteRef/>
      </w:r>
      <w:r>
        <w:t xml:space="preserve"> Ibid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16ED4" w14:textId="77777777" w:rsidR="006F4575" w:rsidRDefault="006F45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96FDD" w14:textId="36C52CB5" w:rsidR="00EB2DA9" w:rsidRPr="003C0CC1" w:rsidRDefault="00EB2DA9" w:rsidP="003C0CC1">
    <w:pPr>
      <w:pStyle w:val="Footer"/>
    </w:pPr>
    <w:r>
      <w:rPr>
        <w:lang w:eastAsia="en-AU"/>
      </w:rPr>
      <mc:AlternateContent>
        <mc:Choice Requires="wps">
          <w:drawing>
            <wp:anchor distT="0" distB="0" distL="114300" distR="114300" simplePos="0" relativeHeight="251658240" behindDoc="1" locked="0" layoutInCell="1" allowOverlap="1" wp14:anchorId="50104DD7" wp14:editId="4A4F079D">
              <wp:simplePos x="0" y="0"/>
              <wp:positionH relativeFrom="margin">
                <wp:align>right</wp:align>
              </wp:positionH>
              <wp:positionV relativeFrom="page">
                <wp:align>bottom</wp:align>
              </wp:positionV>
              <wp:extent cx="467995" cy="521970"/>
              <wp:effectExtent l="0" t="0" r="0" b="11430"/>
              <wp:wrapNone/>
              <wp:docPr id="2" name="Text Box 2" title="Page numb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995" cy="521970"/>
                      </a:xfrm>
                      <a:prstGeom prst="rect">
                        <a:avLst/>
                      </a:prstGeom>
                      <a:solidFill>
                        <a:sysClr val="window" lastClr="FFFFFF"/>
                      </a:solidFill>
                      <a:ln w="6350">
                        <a:noFill/>
                      </a:ln>
                      <a:effectLst/>
                    </wps:spPr>
                    <wps:txbx>
                      <w:txbxContent>
                        <w:p w14:paraId="58223443" w14:textId="310E855C" w:rsidR="00EB2DA9" w:rsidRDefault="00EB2DA9" w:rsidP="003C0CC1">
                          <w:pPr>
                            <w:pStyle w:val="Footer"/>
                            <w:jc w:val="right"/>
                          </w:pPr>
                          <w:r>
                            <w:rPr>
                              <w:noProof w:val="0"/>
                            </w:rPr>
                            <w:fldChar w:fldCharType="begin"/>
                          </w:r>
                          <w:r>
                            <w:instrText xml:space="preserve"> PAGE   \* MERGEFORMAT </w:instrText>
                          </w:r>
                          <w:r>
                            <w:rPr>
                              <w:noProof w:val="0"/>
                            </w:rPr>
                            <w:fldChar w:fldCharType="separate"/>
                          </w:r>
                          <w:r w:rsidR="00FA0C09">
                            <w:t>2</w:t>
                          </w:r>
                          <w: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104DD7" id="_x0000_t202" coordsize="21600,21600" o:spt="202" path="m,l,21600r21600,l21600,xe">
              <v:stroke joinstyle="miter"/>
              <v:path gradientshapeok="t" o:connecttype="rect"/>
            </v:shapetype>
            <v:shape id="Text Box 2" o:spid="_x0000_s1026" type="#_x0000_t202" alt="Title: Page number" style="position:absolute;margin-left:-14.35pt;margin-top:0;width:36.85pt;height:41.1pt;z-index:-251658240;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" fillcolor="window" stroked="f" strokeweight=".5pt">
              <v:path arrowok="t"/>
              <v:textbox inset="0,0,0,0">
                <w:txbxContent>
                  <w:p w14:paraId="58223443" w14:textId="310E855C" w:rsidR="00EB2DA9" w:rsidRDefault="00EB2DA9" w:rsidP="003C0CC1">
                    <w:pPr>
                      <w:pStyle w:val="Footer"/>
                      <w:jc w:val="right"/>
                    </w:pPr>
                    <w:r>
                      <w:rPr>
                        <w:noProof w:val="0"/>
                      </w:rPr>
                      <w:fldChar w:fldCharType="begin"/>
                    </w:r>
                    <w:r>
                      <w:instrText xml:space="preserve"> PAGE   \* MERGEFORMAT </w:instrText>
                    </w:r>
                    <w:r>
                      <w:rPr>
                        <w:noProof w:val="0"/>
                      </w:rPr>
                      <w:fldChar w:fldCharType="separate"/>
                    </w:r>
                    <w:r w:rsidR="00FA0C09">
                      <w:t>2</w:t>
                    </w:r>
                    <w:r>
                      <w:fldChar w:fldCharType="end"/>
                    </w:r>
                  </w:p>
                </w:txbxContent>
              </v:textbox>
              <w10:wrap anchorx="margin" anchory="page"/>
            </v:shape>
          </w:pict>
        </mc:Fallback>
      </mc:AlternateContent>
    </w:r>
    <w:r>
      <w:t>Position statement on meanin</w:t>
    </w:r>
    <w:r w:rsidR="001405D1">
      <w:t>g</w:t>
    </w:r>
    <w:r>
      <w:t>ful emploment for people with disablity in the APS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6DD54" w14:textId="77777777" w:rsidR="00EB2DA9" w:rsidRPr="00E918C8" w:rsidRDefault="00EB2DA9" w:rsidP="003C0CC1">
    <w:pPr>
      <w:pStyle w:val="Footer"/>
      <w:rPr>
        <w:color w:val="004B8D"/>
      </w:rPr>
    </w:pPr>
    <w:r w:rsidRPr="00E918C8">
      <w:rPr>
        <w:color w:val="004B8D"/>
        <w:lang w:eastAsia="en-AU"/>
      </w:rPr>
      <w:t>National body working in partnership to prevent avoidable blindness and improve vision care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3B3483" w14:textId="77777777" w:rsidR="009B40A3" w:rsidRDefault="009B40A3" w:rsidP="00185154">
      <w:r>
        <w:separator/>
      </w:r>
    </w:p>
    <w:p w14:paraId="075A7EFA" w14:textId="77777777" w:rsidR="009B40A3" w:rsidRDefault="009B40A3"/>
  </w:footnote>
  <w:footnote w:type="continuationSeparator" w:id="0">
    <w:p w14:paraId="071BD437" w14:textId="77777777" w:rsidR="009B40A3" w:rsidRDefault="009B40A3" w:rsidP="00185154">
      <w:r>
        <w:continuationSeparator/>
      </w:r>
    </w:p>
    <w:p w14:paraId="51A8EE1D" w14:textId="77777777" w:rsidR="009B40A3" w:rsidRDefault="009B40A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693B6" w14:textId="77777777" w:rsidR="006F4575" w:rsidRDefault="006F45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B9A1C" w14:textId="57B2DCBF" w:rsidR="006F4575" w:rsidRDefault="006F45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F96A43" w14:textId="02431FAB" w:rsidR="00EB2DA9" w:rsidRDefault="00EB2DA9" w:rsidP="003C0CC1">
    <w:pPr>
      <w:pStyle w:val="Header"/>
    </w:pPr>
    <w:r>
      <w:rPr>
        <w:noProof/>
        <w:lang w:eastAsia="en-AU"/>
      </w:rPr>
      <w:drawing>
        <wp:anchor distT="0" distB="0" distL="114300" distR="114300" simplePos="0" relativeHeight="251657216" behindDoc="1" locked="0" layoutInCell="1" allowOverlap="1" wp14:anchorId="1C870314" wp14:editId="4F44176A">
          <wp:simplePos x="0" y="0"/>
          <wp:positionH relativeFrom="page">
            <wp:posOffset>5040630</wp:posOffset>
          </wp:positionH>
          <wp:positionV relativeFrom="page">
            <wp:align>center</wp:align>
          </wp:positionV>
          <wp:extent cx="2325370" cy="10259695"/>
          <wp:effectExtent l="0" t="0" r="11430" b="1905"/>
          <wp:wrapNone/>
          <wp:docPr id="1" name="Picture 1" title="Vision 2020 logo and swoo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title="Vision 2020 logo and swoos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5370" cy="1025969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rebuchet MS" w:hAnsi="Trebuchet MS" w:hint="default"/>
        <w:color w:val="auto"/>
      </w:rPr>
    </w:lvl>
    <w:lvl w:ilvl="1">
      <w:start w:val="1"/>
      <w:numFmt w:val="none"/>
      <w:pStyle w:val="ListParagraph2"/>
      <w:suff w:val="nothing"/>
      <w:lvlText w:val=""/>
      <w:lvlJc w:val="left"/>
      <w:pPr>
        <w:ind w:left="567" w:firstLine="0"/>
      </w:pPr>
      <w:rPr>
        <w:rFonts w:ascii="Trebuchet MS" w:hAnsi="Trebuchet MS" w:hint="default"/>
        <w:color w:val="auto"/>
      </w:rPr>
    </w:lvl>
    <w:lvl w:ilvl="2">
      <w:start w:val="1"/>
      <w:numFmt w:val="none"/>
      <w:pStyle w:val="ListParagraph3"/>
      <w:suff w:val="nothing"/>
      <w:lvlText w:val=""/>
      <w:lvlJc w:val="left"/>
      <w:pPr>
        <w:ind w:left="851" w:firstLine="0"/>
      </w:pPr>
      <w:rPr>
        <w:rFonts w:ascii="Trebuchet MS" w:hAnsi="Trebuchet MS" w:hint="default"/>
        <w:color w:val="auto"/>
      </w:rPr>
    </w:lvl>
    <w:lvl w:ilvl="3">
      <w:start w:val="1"/>
      <w:numFmt w:val="none"/>
      <w:pStyle w:val="ListParagraph4"/>
      <w:suff w:val="nothing"/>
      <w:lvlText w:val=""/>
      <w:lvlJc w:val="left"/>
      <w:pPr>
        <w:ind w:left="1134" w:firstLine="0"/>
      </w:pPr>
      <w:rPr>
        <w:rFonts w:ascii="Trebuchet MS" w:hAnsi="Trebuchet MS" w:hint="default"/>
        <w:color w:val="auto"/>
      </w:rPr>
    </w:lvl>
    <w:lvl w:ilvl="4">
      <w:start w:val="1"/>
      <w:numFmt w:val="none"/>
      <w:pStyle w:val="ListParagraph5"/>
      <w:suff w:val="nothing"/>
      <w:lvlText w:val=""/>
      <w:lvlJc w:val="left"/>
      <w:pPr>
        <w:ind w:left="1418" w:firstLine="0"/>
      </w:pPr>
      <w:rPr>
        <w:rFonts w:ascii="Trebuchet MS" w:hAnsi="Trebuchet MS" w:hint="default"/>
        <w:color w:val="auto"/>
      </w:rPr>
    </w:lvl>
    <w:lvl w:ilvl="5">
      <w:start w:val="1"/>
      <w:numFmt w:val="none"/>
      <w:pStyle w:val="ListParagraph6"/>
      <w:suff w:val="nothing"/>
      <w:lvlText w:val=""/>
      <w:lvlJc w:val="left"/>
      <w:pPr>
        <w:ind w:left="1701" w:firstLine="0"/>
      </w:pPr>
      <w:rPr>
        <w:rFonts w:ascii="Trebuchet MS" w:hAnsi="Trebuchet MS"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24658E7"/>
    <w:multiLevelType w:val="multilevel"/>
    <w:tmpl w:val="A62A2188"/>
    <w:numStyleLink w:val="ListNumberedHeadings"/>
  </w:abstractNum>
  <w:abstractNum w:abstractNumId="2"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rebuchet MS" w:hAnsi="Trebuchet MS" w:hint="default"/>
        <w:color w:val="auto"/>
        <w:sz w:val="22"/>
      </w:rPr>
    </w:lvl>
    <w:lvl w:ilvl="1">
      <w:start w:val="1"/>
      <w:numFmt w:val="lowerRoman"/>
      <w:pStyle w:val="ListAlpha2"/>
      <w:lvlText w:val="%2."/>
      <w:lvlJc w:val="left"/>
      <w:pPr>
        <w:tabs>
          <w:tab w:val="num" w:pos="850"/>
        </w:tabs>
        <w:ind w:left="850" w:hanging="425"/>
      </w:pPr>
      <w:rPr>
        <w:rFonts w:ascii="Trebuchet MS" w:hAnsi="Trebuchet MS" w:hint="default"/>
        <w:color w:val="auto"/>
        <w:sz w:val="22"/>
      </w:rPr>
    </w:lvl>
    <w:lvl w:ilvl="2">
      <w:start w:val="1"/>
      <w:numFmt w:val="decimal"/>
      <w:pStyle w:val="ListAlpha3"/>
      <w:lvlText w:val="%3."/>
      <w:lvlJc w:val="left"/>
      <w:pPr>
        <w:tabs>
          <w:tab w:val="num" w:pos="1275"/>
        </w:tabs>
        <w:ind w:left="1275" w:hanging="425"/>
      </w:pPr>
      <w:rPr>
        <w:rFonts w:ascii="Trebuchet MS" w:hAnsi="Trebuchet MS" w:hint="default"/>
        <w:color w:val="auto"/>
        <w:sz w:val="22"/>
      </w:rPr>
    </w:lvl>
    <w:lvl w:ilvl="3">
      <w:start w:val="1"/>
      <w:numFmt w:val="upperLetter"/>
      <w:pStyle w:val="ListAlpha4"/>
      <w:lvlText w:val="%4."/>
      <w:lvlJc w:val="left"/>
      <w:pPr>
        <w:tabs>
          <w:tab w:val="num" w:pos="1700"/>
        </w:tabs>
        <w:ind w:left="1700" w:hanging="425"/>
      </w:pPr>
      <w:rPr>
        <w:rFonts w:ascii="Trebuchet MS" w:hAnsi="Trebuchet MS" w:hint="default"/>
        <w:color w:val="auto"/>
        <w:sz w:val="22"/>
      </w:rPr>
    </w:lvl>
    <w:lvl w:ilvl="4">
      <w:start w:val="1"/>
      <w:numFmt w:val="upperRoman"/>
      <w:pStyle w:val="ListAlpha5"/>
      <w:lvlText w:val="%5."/>
      <w:lvlJc w:val="left"/>
      <w:pPr>
        <w:tabs>
          <w:tab w:val="num" w:pos="2125"/>
        </w:tabs>
        <w:ind w:left="2125" w:hanging="425"/>
      </w:pPr>
      <w:rPr>
        <w:rFonts w:ascii="Trebuchet MS" w:hAnsi="Trebuchet MS" w:hint="default"/>
        <w:color w:val="auto"/>
        <w:sz w:val="22"/>
      </w:rPr>
    </w:lvl>
    <w:lvl w:ilvl="5">
      <w:start w:val="1"/>
      <w:numFmt w:val="decimal"/>
      <w:pStyle w:val="ListAlpha6"/>
      <w:lvlText w:val="%6."/>
      <w:lvlJc w:val="left"/>
      <w:pPr>
        <w:tabs>
          <w:tab w:val="num" w:pos="2550"/>
        </w:tabs>
        <w:ind w:left="2550" w:hanging="425"/>
      </w:pPr>
      <w:rPr>
        <w:rFonts w:ascii="Trebuchet MS" w:hAnsi="Trebuchet MS"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 w15:restartNumberingAfterBreak="0">
    <w:nsid w:val="0CCD4DAA"/>
    <w:multiLevelType w:val="multilevel"/>
    <w:tmpl w:val="624681D2"/>
    <w:styleLink w:val="ListTableBullet"/>
    <w:lvl w:ilvl="0">
      <w:start w:val="1"/>
      <w:numFmt w:val="bullet"/>
      <w:pStyle w:val="TableBullet"/>
      <w:lvlText w:val=""/>
      <w:lvlJc w:val="left"/>
      <w:pPr>
        <w:tabs>
          <w:tab w:val="num" w:pos="284"/>
        </w:tabs>
        <w:ind w:left="284" w:hanging="284"/>
      </w:pPr>
      <w:rPr>
        <w:rFonts w:ascii="Symbol" w:hAnsi="Symbol" w:hint="default"/>
        <w:color w:val="auto"/>
        <w:sz w:val="18"/>
      </w:rPr>
    </w:lvl>
    <w:lvl w:ilvl="1">
      <w:start w:val="1"/>
      <w:numFmt w:val="bullet"/>
      <w:pStyle w:val="TableBullet2"/>
      <w:lvlText w:val="‐"/>
      <w:lvlJc w:val="left"/>
      <w:pPr>
        <w:tabs>
          <w:tab w:val="num" w:pos="567"/>
        </w:tabs>
        <w:ind w:left="567" w:hanging="283"/>
      </w:pPr>
      <w:rPr>
        <w:rFonts w:ascii="Trebuchet MS" w:hAnsi="Trebuchet MS" w:cs="Times New Roman" w:hint="default"/>
        <w:color w:val="auto"/>
        <w:sz w:val="20"/>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4" w15:restartNumberingAfterBreak="0">
    <w:nsid w:val="165A2988"/>
    <w:multiLevelType w:val="hybridMultilevel"/>
    <w:tmpl w:val="23000D5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6B96E9A"/>
    <w:multiLevelType w:val="multilevel"/>
    <w:tmpl w:val="624681D2"/>
    <w:numStyleLink w:val="ListTableBullet"/>
  </w:abstractNum>
  <w:abstractNum w:abstractNumId="6" w15:restartNumberingAfterBreak="0">
    <w:nsid w:val="1D366260"/>
    <w:multiLevelType w:val="multilevel"/>
    <w:tmpl w:val="A62A2188"/>
    <w:numStyleLink w:val="ListNumberedHeadings"/>
  </w:abstractNum>
  <w:abstractNum w:abstractNumId="7" w15:restartNumberingAfterBreak="0">
    <w:nsid w:val="24741D40"/>
    <w:multiLevelType w:val="multilevel"/>
    <w:tmpl w:val="01B82858"/>
    <w:styleLink w:val="ListNumber"/>
    <w:lvl w:ilvl="0">
      <w:start w:val="1"/>
      <w:numFmt w:val="lowerLetter"/>
      <w:lvlText w:val="%1."/>
      <w:lvlJc w:val="left"/>
      <w:pPr>
        <w:tabs>
          <w:tab w:val="num" w:pos="425"/>
        </w:tabs>
        <w:ind w:left="425" w:hanging="425"/>
      </w:pPr>
      <w:rPr>
        <w:rFonts w:hint="default"/>
        <w:b w:val="0"/>
        <w:i w:val="0"/>
        <w:caps w:val="0"/>
        <w:strike w:val="0"/>
        <w:dstrike w:val="0"/>
        <w:vanish w:val="0"/>
        <w:color w:val="auto"/>
        <w:sz w:val="22"/>
        <w:vertAlign w:val="baseline"/>
      </w:rPr>
    </w:lvl>
    <w:lvl w:ilvl="1">
      <w:start w:val="1"/>
      <w:numFmt w:val="lowerLetter"/>
      <w:lvlText w:val="%2."/>
      <w:lvlJc w:val="left"/>
      <w:pPr>
        <w:tabs>
          <w:tab w:val="num" w:pos="851"/>
        </w:tabs>
        <w:ind w:left="850" w:hanging="425"/>
      </w:pPr>
      <w:rPr>
        <w:rFonts w:ascii="Trebuchet MS" w:hAnsi="Trebuchet MS" w:hint="default"/>
        <w:b w:val="0"/>
        <w:i w:val="0"/>
        <w:color w:val="auto"/>
        <w:sz w:val="22"/>
      </w:rPr>
    </w:lvl>
    <w:lvl w:ilvl="2">
      <w:start w:val="1"/>
      <w:numFmt w:val="lowerRoman"/>
      <w:lvlText w:val="%3."/>
      <w:lvlJc w:val="left"/>
      <w:pPr>
        <w:tabs>
          <w:tab w:val="num" w:pos="1276"/>
        </w:tabs>
        <w:ind w:left="1275" w:hanging="425"/>
      </w:pPr>
      <w:rPr>
        <w:rFonts w:ascii="Trebuchet MS" w:hAnsi="Trebuchet MS" w:hint="default"/>
        <w:b w:val="0"/>
        <w:i w:val="0"/>
        <w:color w:val="auto"/>
        <w:sz w:val="22"/>
      </w:rPr>
    </w:lvl>
    <w:lvl w:ilvl="3">
      <w:start w:val="1"/>
      <w:numFmt w:val="upperLetter"/>
      <w:lvlText w:val="%4."/>
      <w:lvlJc w:val="left"/>
      <w:pPr>
        <w:tabs>
          <w:tab w:val="num" w:pos="1701"/>
        </w:tabs>
        <w:ind w:left="1700" w:hanging="425"/>
      </w:pPr>
      <w:rPr>
        <w:rFonts w:ascii="Trebuchet MS" w:hAnsi="Trebuchet MS" w:hint="default"/>
        <w:b w:val="0"/>
        <w:i w:val="0"/>
        <w:color w:val="auto"/>
        <w:sz w:val="22"/>
      </w:rPr>
    </w:lvl>
    <w:lvl w:ilvl="4">
      <w:start w:val="1"/>
      <w:numFmt w:val="upperRoman"/>
      <w:lvlText w:val="%5."/>
      <w:lvlJc w:val="left"/>
      <w:pPr>
        <w:tabs>
          <w:tab w:val="num" w:pos="2126"/>
        </w:tabs>
        <w:ind w:left="2125" w:hanging="425"/>
      </w:pPr>
      <w:rPr>
        <w:rFonts w:ascii="Trebuchet MS" w:hAnsi="Trebuchet MS" w:hint="default"/>
        <w:b w:val="0"/>
        <w:i w:val="0"/>
        <w:color w:val="auto"/>
        <w:sz w:val="22"/>
      </w:rPr>
    </w:lvl>
    <w:lvl w:ilvl="5">
      <w:start w:val="1"/>
      <w:numFmt w:val="decimal"/>
      <w:lvlText w:val="%6."/>
      <w:lvlJc w:val="left"/>
      <w:pPr>
        <w:tabs>
          <w:tab w:val="num" w:pos="2552"/>
        </w:tabs>
        <w:ind w:left="2550" w:hanging="425"/>
      </w:pPr>
      <w:rPr>
        <w:rFonts w:ascii="Trebuchet MS" w:hAnsi="Trebuchet MS"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8" w15:restartNumberingAfterBreak="0">
    <w:nsid w:val="2ACD3286"/>
    <w:multiLevelType w:val="multilevel"/>
    <w:tmpl w:val="A62A2188"/>
    <w:numStyleLink w:val="ListNumberedHeadings"/>
  </w:abstractNum>
  <w:abstractNum w:abstractNumId="9" w15:restartNumberingAfterBreak="0">
    <w:nsid w:val="2F9F2780"/>
    <w:multiLevelType w:val="multilevel"/>
    <w:tmpl w:val="BDFC207A"/>
    <w:numStyleLink w:val="ListTableNumber"/>
  </w:abstractNum>
  <w:abstractNum w:abstractNumId="10" w15:restartNumberingAfterBreak="0">
    <w:nsid w:val="353912ED"/>
    <w:multiLevelType w:val="multilevel"/>
    <w:tmpl w:val="93023612"/>
    <w:styleLink w:val="ListBullet"/>
    <w:lvl w:ilvl="0">
      <w:start w:val="1"/>
      <w:numFmt w:val="bullet"/>
      <w:pStyle w:val="ListBullet0"/>
      <w:lvlText w:val=""/>
      <w:lvlJc w:val="left"/>
      <w:pPr>
        <w:tabs>
          <w:tab w:val="num" w:pos="425"/>
        </w:tabs>
        <w:ind w:left="425" w:hanging="425"/>
      </w:pPr>
      <w:rPr>
        <w:rFonts w:ascii="Symbol" w:hAnsi="Symbol" w:hint="default"/>
        <w:b w:val="0"/>
        <w:i w:val="0"/>
        <w:color w:val="auto"/>
        <w:sz w:val="18"/>
        <w:szCs w:val="20"/>
      </w:rPr>
    </w:lvl>
    <w:lvl w:ilvl="1">
      <w:start w:val="1"/>
      <w:numFmt w:val="bullet"/>
      <w:pStyle w:val="ListBullet2"/>
      <w:lvlText w:val="‐"/>
      <w:lvlJc w:val="left"/>
      <w:pPr>
        <w:tabs>
          <w:tab w:val="num" w:pos="851"/>
        </w:tabs>
        <w:ind w:left="851" w:hanging="426"/>
      </w:pPr>
      <w:rPr>
        <w:rFonts w:ascii="Trebuchet MS" w:hAnsi="Trebuchet MS" w:cs="Times New Roman" w:hint="default"/>
        <w:caps w:val="0"/>
        <w:strike w:val="0"/>
        <w:dstrike w:val="0"/>
        <w:vanish w:val="0"/>
        <w:color w:val="auto"/>
        <w:sz w:val="22"/>
        <w:u w:val="none"/>
        <w:vertAlign w:val="baseline"/>
      </w:rPr>
    </w:lvl>
    <w:lvl w:ilvl="2">
      <w:start w:val="1"/>
      <w:numFmt w:val="bullet"/>
      <w:pStyle w:val="ListBullet3"/>
      <w:lvlText w:val=""/>
      <w:lvlJc w:val="left"/>
      <w:pPr>
        <w:tabs>
          <w:tab w:val="num" w:pos="1276"/>
        </w:tabs>
        <w:ind w:left="1276" w:hanging="425"/>
      </w:pPr>
      <w:rPr>
        <w:rFonts w:ascii="Symbol" w:hAnsi="Symbol" w:hint="default"/>
        <w:color w:val="auto"/>
        <w:sz w:val="18"/>
      </w:rPr>
    </w:lvl>
    <w:lvl w:ilvl="3">
      <w:start w:val="1"/>
      <w:numFmt w:val="bullet"/>
      <w:pStyle w:val="ListBullet4"/>
      <w:lvlText w:val="‐"/>
      <w:lvlJc w:val="left"/>
      <w:pPr>
        <w:tabs>
          <w:tab w:val="num" w:pos="1701"/>
        </w:tabs>
        <w:ind w:left="1701" w:hanging="425"/>
      </w:pPr>
      <w:rPr>
        <w:rFonts w:ascii="Trebuchet MS" w:hAnsi="Trebuchet MS" w:cs="Times New Roman" w:hint="default"/>
        <w:caps w:val="0"/>
        <w:strike w:val="0"/>
        <w:dstrike w:val="0"/>
        <w:vanish w:val="0"/>
        <w:color w:val="auto"/>
        <w:sz w:val="22"/>
        <w:u w:val="none"/>
        <w:vertAlign w:val="baseline"/>
      </w:rPr>
    </w:lvl>
    <w:lvl w:ilvl="4">
      <w:start w:val="1"/>
      <w:numFmt w:val="bullet"/>
      <w:pStyle w:val="ListBullet5"/>
      <w:lvlText w:val=""/>
      <w:lvlJc w:val="left"/>
      <w:pPr>
        <w:tabs>
          <w:tab w:val="num" w:pos="2126"/>
        </w:tabs>
        <w:ind w:left="2126" w:hanging="425"/>
      </w:pPr>
      <w:rPr>
        <w:rFonts w:ascii="Symbol" w:hAnsi="Symbol" w:hint="default"/>
        <w:color w:val="auto"/>
        <w:sz w:val="18"/>
      </w:rPr>
    </w:lvl>
    <w:lvl w:ilvl="5">
      <w:start w:val="1"/>
      <w:numFmt w:val="bullet"/>
      <w:pStyle w:val="ListBullet6"/>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1" w15:restartNumberingAfterBreak="0">
    <w:nsid w:val="40071FAE"/>
    <w:multiLevelType w:val="multilevel"/>
    <w:tmpl w:val="A62A2188"/>
    <w:styleLink w:val="ListNumberedHeadings"/>
    <w:lvl w:ilvl="0">
      <w:start w:val="1"/>
      <w:numFmt w:val="decimal"/>
      <w:pStyle w:val="NbrHeading1"/>
      <w:lvlText w:val="%1"/>
      <w:lvlJc w:val="left"/>
      <w:pPr>
        <w:tabs>
          <w:tab w:val="num" w:pos="1134"/>
        </w:tabs>
        <w:ind w:left="1134" w:hanging="1134"/>
      </w:pPr>
      <w:rPr>
        <w:rFonts w:ascii="Trebuchet MS" w:hAnsi="Trebuchet MS" w:hint="default"/>
        <w:color w:val="004B8D"/>
        <w:sz w:val="36"/>
      </w:rPr>
    </w:lvl>
    <w:lvl w:ilvl="1">
      <w:start w:val="1"/>
      <w:numFmt w:val="decimal"/>
      <w:pStyle w:val="NbrHeading2"/>
      <w:lvlText w:val="%1.%2"/>
      <w:lvlJc w:val="left"/>
      <w:pPr>
        <w:tabs>
          <w:tab w:val="num" w:pos="1134"/>
        </w:tabs>
        <w:ind w:left="1134" w:hanging="1134"/>
      </w:pPr>
      <w:rPr>
        <w:rFonts w:ascii="Trebuchet MS" w:hAnsi="Trebuchet MS" w:hint="default"/>
        <w:color w:val="004B8D"/>
        <w:sz w:val="28"/>
      </w:rPr>
    </w:lvl>
    <w:lvl w:ilvl="2">
      <w:start w:val="1"/>
      <w:numFmt w:val="decimal"/>
      <w:pStyle w:val="NbrHeading3"/>
      <w:lvlText w:val="%1.%2.%3"/>
      <w:lvlJc w:val="left"/>
      <w:pPr>
        <w:tabs>
          <w:tab w:val="num" w:pos="1134"/>
        </w:tabs>
        <w:ind w:left="1134" w:hanging="1134"/>
      </w:pPr>
      <w:rPr>
        <w:rFonts w:ascii="Trebuchet MS" w:hAnsi="Trebuchet MS" w:hint="default"/>
        <w:b/>
        <w:color w:val="004B8D"/>
        <w:sz w:val="23"/>
      </w:rPr>
    </w:lvl>
    <w:lvl w:ilvl="3">
      <w:start w:val="1"/>
      <w:numFmt w:val="none"/>
      <w:lvlText w:val=""/>
      <w:lvlJc w:val="left"/>
      <w:pPr>
        <w:tabs>
          <w:tab w:val="num" w:pos="0"/>
        </w:tabs>
        <w:ind w:left="0" w:firstLine="0"/>
      </w:pPr>
      <w:rPr>
        <w:rFonts w:ascii="Trebuchet MS" w:hAnsi="Trebuchet MS" w:hint="default"/>
        <w:color w:val="004B8D"/>
        <w:sz w:val="22"/>
      </w:rPr>
    </w:lvl>
    <w:lvl w:ilvl="4">
      <w:start w:val="1"/>
      <w:numFmt w:val="none"/>
      <w:lvlText w:val=""/>
      <w:lvlJc w:val="left"/>
      <w:pPr>
        <w:tabs>
          <w:tab w:val="num" w:pos="0"/>
        </w:tabs>
        <w:ind w:left="0" w:firstLine="0"/>
      </w:pPr>
      <w:rPr>
        <w:rFonts w:ascii="Trebuchet MS" w:hAnsi="Trebuchet MS" w:hint="default"/>
        <w:color w:val="004B8D"/>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2" w15:restartNumberingAfterBreak="0">
    <w:nsid w:val="4B5002C9"/>
    <w:multiLevelType w:val="multilevel"/>
    <w:tmpl w:val="624681D2"/>
    <w:numStyleLink w:val="ListTableBullet"/>
  </w:abstractNum>
  <w:abstractNum w:abstractNumId="13" w15:restartNumberingAfterBreak="0">
    <w:nsid w:val="55C647A8"/>
    <w:multiLevelType w:val="multilevel"/>
    <w:tmpl w:val="A62A2188"/>
    <w:numStyleLink w:val="ListNumberedHeadings"/>
  </w:abstractNum>
  <w:abstractNum w:abstractNumId="14"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rebuchet MS" w:hAnsi="Trebuchet MS" w:hint="default"/>
        <w:b w:val="0"/>
        <w:i w:val="0"/>
        <w:color w:val="auto"/>
        <w:sz w:val="18"/>
        <w:szCs w:val="21"/>
      </w:rPr>
    </w:lvl>
    <w:lvl w:ilvl="1">
      <w:start w:val="1"/>
      <w:numFmt w:val="lowerLetter"/>
      <w:pStyle w:val="TableNumber2"/>
      <w:lvlText w:val="%2."/>
      <w:lvlJc w:val="left"/>
      <w:pPr>
        <w:tabs>
          <w:tab w:val="num" w:pos="567"/>
        </w:tabs>
        <w:ind w:left="567" w:hanging="283"/>
      </w:pPr>
      <w:rPr>
        <w:rFonts w:ascii="Trebuchet MS" w:hAnsi="Trebuchet MS" w:hint="default"/>
        <w:b w:val="0"/>
        <w:i w:val="0"/>
        <w:color w:val="auto"/>
        <w:sz w:val="18"/>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5" w15:restartNumberingAfterBreak="0">
    <w:nsid w:val="68DE5D98"/>
    <w:multiLevelType w:val="multilevel"/>
    <w:tmpl w:val="93023612"/>
    <w:numStyleLink w:val="ListBullet"/>
  </w:abstractNum>
  <w:abstractNum w:abstractNumId="16" w15:restartNumberingAfterBreak="0">
    <w:nsid w:val="6AEE084D"/>
    <w:multiLevelType w:val="multilevel"/>
    <w:tmpl w:val="624681D2"/>
    <w:numStyleLink w:val="ListTableBullet"/>
  </w:abstractNum>
  <w:abstractNum w:abstractNumId="17" w15:restartNumberingAfterBreak="0">
    <w:nsid w:val="7139706E"/>
    <w:multiLevelType w:val="multilevel"/>
    <w:tmpl w:val="11C64328"/>
    <w:numStyleLink w:val="ListParagraph"/>
  </w:abstractNum>
  <w:abstractNum w:abstractNumId="18" w15:restartNumberingAfterBreak="0">
    <w:nsid w:val="75871C9F"/>
    <w:multiLevelType w:val="hybridMultilevel"/>
    <w:tmpl w:val="11C896A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19"/>
  </w:num>
  <w:num w:numId="2">
    <w:abstractNumId w:val="11"/>
  </w:num>
  <w:num w:numId="3">
    <w:abstractNumId w:val="0"/>
  </w:num>
  <w:num w:numId="4">
    <w:abstractNumId w:val="3"/>
  </w:num>
  <w:num w:numId="5">
    <w:abstractNumId w:val="14"/>
  </w:num>
  <w:num w:numId="6">
    <w:abstractNumId w:val="17"/>
  </w:num>
  <w:num w:numId="7">
    <w:abstractNumId w:val="8"/>
  </w:num>
  <w:num w:numId="8">
    <w:abstractNumId w:val="9"/>
  </w:num>
  <w:num w:numId="9">
    <w:abstractNumId w:val="5"/>
  </w:num>
  <w:num w:numId="10">
    <w:abstractNumId w:val="2"/>
  </w:num>
  <w:num w:numId="11">
    <w:abstractNumId w:val="10"/>
  </w:num>
  <w:num w:numId="12">
    <w:abstractNumId w:val="7"/>
  </w:num>
  <w:num w:numId="13">
    <w:abstractNumId w:val="15"/>
  </w:num>
  <w:num w:numId="14">
    <w:abstractNumId w:val="15"/>
  </w:num>
  <w:num w:numId="15">
    <w:abstractNumId w:val="15"/>
  </w:num>
  <w:num w:numId="16">
    <w:abstractNumId w:val="15"/>
  </w:num>
  <w:num w:numId="17">
    <w:abstractNumId w:val="15"/>
  </w:num>
  <w:num w:numId="18">
    <w:abstractNumId w:val="15"/>
  </w:num>
  <w:num w:numId="19">
    <w:abstractNumId w:val="10"/>
  </w:num>
  <w:num w:numId="20">
    <w:abstractNumId w:val="10"/>
  </w:num>
  <w:num w:numId="21">
    <w:abstractNumId w:val="10"/>
  </w:num>
  <w:num w:numId="22">
    <w:abstractNumId w:val="10"/>
  </w:num>
  <w:num w:numId="23">
    <w:abstractNumId w:val="10"/>
  </w:num>
  <w:num w:numId="24">
    <w:abstractNumId w:val="10"/>
  </w:num>
  <w:num w:numId="25">
    <w:abstractNumId w:val="10"/>
  </w:num>
  <w:num w:numId="26">
    <w:abstractNumId w:val="10"/>
  </w:num>
  <w:num w:numId="27">
    <w:abstractNumId w:val="11"/>
  </w:num>
  <w:num w:numId="28">
    <w:abstractNumId w:val="3"/>
  </w:num>
  <w:num w:numId="29">
    <w:abstractNumId w:val="1"/>
  </w:num>
  <w:num w:numId="30">
    <w:abstractNumId w:val="1"/>
  </w:num>
  <w:num w:numId="31">
    <w:abstractNumId w:val="1"/>
  </w:num>
  <w:num w:numId="32">
    <w:abstractNumId w:val="16"/>
  </w:num>
  <w:num w:numId="33">
    <w:abstractNumId w:val="16"/>
  </w:num>
  <w:num w:numId="34">
    <w:abstractNumId w:val="12"/>
  </w:num>
  <w:num w:numId="35">
    <w:abstractNumId w:val="6"/>
  </w:num>
  <w:num w:numId="36">
    <w:abstractNumId w:val="11"/>
  </w:num>
  <w:num w:numId="37">
    <w:abstractNumId w:val="13"/>
  </w:num>
  <w:num w:numId="38">
    <w:abstractNumId w:val="13"/>
  </w:num>
  <w:num w:numId="39">
    <w:abstractNumId w:val="13"/>
  </w:num>
  <w:num w:numId="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8"/>
  </w:num>
  <w:num w:numId="45">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8C8"/>
    <w:rsid w:val="00006100"/>
    <w:rsid w:val="00022A01"/>
    <w:rsid w:val="00023879"/>
    <w:rsid w:val="000268BB"/>
    <w:rsid w:val="00033876"/>
    <w:rsid w:val="000358CA"/>
    <w:rsid w:val="000427B8"/>
    <w:rsid w:val="00071C7D"/>
    <w:rsid w:val="00076F97"/>
    <w:rsid w:val="0008367E"/>
    <w:rsid w:val="000836AF"/>
    <w:rsid w:val="000870BB"/>
    <w:rsid w:val="00087D93"/>
    <w:rsid w:val="000925F4"/>
    <w:rsid w:val="000A7480"/>
    <w:rsid w:val="000B3EBE"/>
    <w:rsid w:val="000B6FA1"/>
    <w:rsid w:val="000C0C22"/>
    <w:rsid w:val="000C1280"/>
    <w:rsid w:val="000C1D1E"/>
    <w:rsid w:val="000F4A35"/>
    <w:rsid w:val="000F53C3"/>
    <w:rsid w:val="00102AD0"/>
    <w:rsid w:val="001063C6"/>
    <w:rsid w:val="00112AF7"/>
    <w:rsid w:val="0013218E"/>
    <w:rsid w:val="0013601C"/>
    <w:rsid w:val="001405D1"/>
    <w:rsid w:val="00145CCD"/>
    <w:rsid w:val="001505D8"/>
    <w:rsid w:val="00150F7F"/>
    <w:rsid w:val="00154790"/>
    <w:rsid w:val="001553BC"/>
    <w:rsid w:val="00156423"/>
    <w:rsid w:val="001600E5"/>
    <w:rsid w:val="001703B8"/>
    <w:rsid w:val="001829A7"/>
    <w:rsid w:val="001831BB"/>
    <w:rsid w:val="00185154"/>
    <w:rsid w:val="0018766D"/>
    <w:rsid w:val="0019114D"/>
    <w:rsid w:val="0019365D"/>
    <w:rsid w:val="00194F7D"/>
    <w:rsid w:val="001B066D"/>
    <w:rsid w:val="001B6609"/>
    <w:rsid w:val="001B7BEE"/>
    <w:rsid w:val="001C1008"/>
    <w:rsid w:val="001F16CA"/>
    <w:rsid w:val="0020556D"/>
    <w:rsid w:val="002078C1"/>
    <w:rsid w:val="002106C4"/>
    <w:rsid w:val="00210DEF"/>
    <w:rsid w:val="002171B6"/>
    <w:rsid w:val="00220BE6"/>
    <w:rsid w:val="00222215"/>
    <w:rsid w:val="002243F0"/>
    <w:rsid w:val="00234E90"/>
    <w:rsid w:val="002411B2"/>
    <w:rsid w:val="00250279"/>
    <w:rsid w:val="0025119D"/>
    <w:rsid w:val="00252201"/>
    <w:rsid w:val="00254DD8"/>
    <w:rsid w:val="00260E78"/>
    <w:rsid w:val="002947C3"/>
    <w:rsid w:val="00294BE5"/>
    <w:rsid w:val="0029639C"/>
    <w:rsid w:val="002A590E"/>
    <w:rsid w:val="002B4003"/>
    <w:rsid w:val="002C5B1C"/>
    <w:rsid w:val="002C6622"/>
    <w:rsid w:val="002D4254"/>
    <w:rsid w:val="002D4E6E"/>
    <w:rsid w:val="002F2F7A"/>
    <w:rsid w:val="002F4862"/>
    <w:rsid w:val="002F4B3A"/>
    <w:rsid w:val="00301893"/>
    <w:rsid w:val="00310048"/>
    <w:rsid w:val="00323FAA"/>
    <w:rsid w:val="00333793"/>
    <w:rsid w:val="0033522F"/>
    <w:rsid w:val="00337D08"/>
    <w:rsid w:val="003411DD"/>
    <w:rsid w:val="003445E8"/>
    <w:rsid w:val="0034683C"/>
    <w:rsid w:val="0035518F"/>
    <w:rsid w:val="0037398C"/>
    <w:rsid w:val="0037618F"/>
    <w:rsid w:val="00385093"/>
    <w:rsid w:val="003853C1"/>
    <w:rsid w:val="00386322"/>
    <w:rsid w:val="003A04C1"/>
    <w:rsid w:val="003A08A5"/>
    <w:rsid w:val="003A286F"/>
    <w:rsid w:val="003A30FB"/>
    <w:rsid w:val="003B0945"/>
    <w:rsid w:val="003B097F"/>
    <w:rsid w:val="003B4DCF"/>
    <w:rsid w:val="003C047C"/>
    <w:rsid w:val="003C0CC1"/>
    <w:rsid w:val="003C12CE"/>
    <w:rsid w:val="003D3B71"/>
    <w:rsid w:val="003D56AF"/>
    <w:rsid w:val="003D5766"/>
    <w:rsid w:val="003E1EF3"/>
    <w:rsid w:val="003E5319"/>
    <w:rsid w:val="0040171A"/>
    <w:rsid w:val="00404615"/>
    <w:rsid w:val="00407776"/>
    <w:rsid w:val="004254BC"/>
    <w:rsid w:val="0042720E"/>
    <w:rsid w:val="00427353"/>
    <w:rsid w:val="0043564D"/>
    <w:rsid w:val="0043628A"/>
    <w:rsid w:val="00444AE6"/>
    <w:rsid w:val="004478FD"/>
    <w:rsid w:val="00463887"/>
    <w:rsid w:val="004700B3"/>
    <w:rsid w:val="00491C59"/>
    <w:rsid w:val="00494B2B"/>
    <w:rsid w:val="004B7C90"/>
    <w:rsid w:val="004B7DAE"/>
    <w:rsid w:val="004C1470"/>
    <w:rsid w:val="004E431C"/>
    <w:rsid w:val="004E79A4"/>
    <w:rsid w:val="004F2A3C"/>
    <w:rsid w:val="004F3D6F"/>
    <w:rsid w:val="004F7756"/>
    <w:rsid w:val="0051056D"/>
    <w:rsid w:val="00515458"/>
    <w:rsid w:val="00517BEF"/>
    <w:rsid w:val="005211CD"/>
    <w:rsid w:val="005331C9"/>
    <w:rsid w:val="00541745"/>
    <w:rsid w:val="0055219D"/>
    <w:rsid w:val="0055353F"/>
    <w:rsid w:val="00554CF4"/>
    <w:rsid w:val="0056576C"/>
    <w:rsid w:val="0056633F"/>
    <w:rsid w:val="005713E5"/>
    <w:rsid w:val="00581FDF"/>
    <w:rsid w:val="005A435A"/>
    <w:rsid w:val="005B0849"/>
    <w:rsid w:val="005B0C40"/>
    <w:rsid w:val="005B10BC"/>
    <w:rsid w:val="005D620B"/>
    <w:rsid w:val="005E259B"/>
    <w:rsid w:val="005E2C50"/>
    <w:rsid w:val="005F4ADA"/>
    <w:rsid w:val="006025ED"/>
    <w:rsid w:val="0061089F"/>
    <w:rsid w:val="006134C7"/>
    <w:rsid w:val="00617878"/>
    <w:rsid w:val="00633235"/>
    <w:rsid w:val="0065325A"/>
    <w:rsid w:val="00674316"/>
    <w:rsid w:val="00684E74"/>
    <w:rsid w:val="0069593B"/>
    <w:rsid w:val="006A1801"/>
    <w:rsid w:val="006A2067"/>
    <w:rsid w:val="006D22C5"/>
    <w:rsid w:val="006E424B"/>
    <w:rsid w:val="006F4575"/>
    <w:rsid w:val="00706376"/>
    <w:rsid w:val="007121A4"/>
    <w:rsid w:val="00734CE4"/>
    <w:rsid w:val="00735BE7"/>
    <w:rsid w:val="00753697"/>
    <w:rsid w:val="00757A95"/>
    <w:rsid w:val="00765074"/>
    <w:rsid w:val="00770BF1"/>
    <w:rsid w:val="00774E81"/>
    <w:rsid w:val="0078635B"/>
    <w:rsid w:val="007A3BEC"/>
    <w:rsid w:val="007A5346"/>
    <w:rsid w:val="007C12C8"/>
    <w:rsid w:val="007D6C9F"/>
    <w:rsid w:val="007E0CFC"/>
    <w:rsid w:val="007F7046"/>
    <w:rsid w:val="00804C5A"/>
    <w:rsid w:val="00817D6F"/>
    <w:rsid w:val="00822503"/>
    <w:rsid w:val="008315C7"/>
    <w:rsid w:val="00845732"/>
    <w:rsid w:val="00853BF7"/>
    <w:rsid w:val="008572D9"/>
    <w:rsid w:val="00861E13"/>
    <w:rsid w:val="008735D8"/>
    <w:rsid w:val="00877099"/>
    <w:rsid w:val="00892496"/>
    <w:rsid w:val="008A6F22"/>
    <w:rsid w:val="008B3F54"/>
    <w:rsid w:val="008B5D8F"/>
    <w:rsid w:val="008D667E"/>
    <w:rsid w:val="008E6278"/>
    <w:rsid w:val="008F24D1"/>
    <w:rsid w:val="008F4E0B"/>
    <w:rsid w:val="008F7D40"/>
    <w:rsid w:val="00905A13"/>
    <w:rsid w:val="00907866"/>
    <w:rsid w:val="0091510F"/>
    <w:rsid w:val="009217B0"/>
    <w:rsid w:val="0093183A"/>
    <w:rsid w:val="00940700"/>
    <w:rsid w:val="009453E1"/>
    <w:rsid w:val="009571D7"/>
    <w:rsid w:val="00961FE6"/>
    <w:rsid w:val="00980D15"/>
    <w:rsid w:val="00981DAF"/>
    <w:rsid w:val="00990EFD"/>
    <w:rsid w:val="009A199C"/>
    <w:rsid w:val="009A1E0A"/>
    <w:rsid w:val="009B40A3"/>
    <w:rsid w:val="009E3BCF"/>
    <w:rsid w:val="009F6CE7"/>
    <w:rsid w:val="00A07960"/>
    <w:rsid w:val="00A1119E"/>
    <w:rsid w:val="00A21876"/>
    <w:rsid w:val="00A41250"/>
    <w:rsid w:val="00A414F0"/>
    <w:rsid w:val="00A41D4E"/>
    <w:rsid w:val="00A52A8F"/>
    <w:rsid w:val="00A63844"/>
    <w:rsid w:val="00A640FF"/>
    <w:rsid w:val="00A83B38"/>
    <w:rsid w:val="00A83E83"/>
    <w:rsid w:val="00A84007"/>
    <w:rsid w:val="00A939E6"/>
    <w:rsid w:val="00A94D42"/>
    <w:rsid w:val="00AA6010"/>
    <w:rsid w:val="00AD6EC2"/>
    <w:rsid w:val="00AE4C26"/>
    <w:rsid w:val="00AF2204"/>
    <w:rsid w:val="00B012F3"/>
    <w:rsid w:val="00B1273F"/>
    <w:rsid w:val="00B531A5"/>
    <w:rsid w:val="00B53493"/>
    <w:rsid w:val="00B55430"/>
    <w:rsid w:val="00B55D18"/>
    <w:rsid w:val="00B56CC8"/>
    <w:rsid w:val="00B65281"/>
    <w:rsid w:val="00B668FB"/>
    <w:rsid w:val="00B76B8E"/>
    <w:rsid w:val="00B8347A"/>
    <w:rsid w:val="00BA45AE"/>
    <w:rsid w:val="00BA4F4A"/>
    <w:rsid w:val="00BA66AD"/>
    <w:rsid w:val="00BB49AA"/>
    <w:rsid w:val="00BC2DD3"/>
    <w:rsid w:val="00BC67B1"/>
    <w:rsid w:val="00BD7CF3"/>
    <w:rsid w:val="00BE16D4"/>
    <w:rsid w:val="00BF2C53"/>
    <w:rsid w:val="00C000C3"/>
    <w:rsid w:val="00C02E60"/>
    <w:rsid w:val="00C037A9"/>
    <w:rsid w:val="00C10095"/>
    <w:rsid w:val="00C1697A"/>
    <w:rsid w:val="00C240FD"/>
    <w:rsid w:val="00C24374"/>
    <w:rsid w:val="00C302EF"/>
    <w:rsid w:val="00C4450D"/>
    <w:rsid w:val="00C74C53"/>
    <w:rsid w:val="00C84225"/>
    <w:rsid w:val="00C92034"/>
    <w:rsid w:val="00C95CB4"/>
    <w:rsid w:val="00C97431"/>
    <w:rsid w:val="00CC3AD2"/>
    <w:rsid w:val="00CC6939"/>
    <w:rsid w:val="00CE015E"/>
    <w:rsid w:val="00CE5F12"/>
    <w:rsid w:val="00D241D3"/>
    <w:rsid w:val="00D244EF"/>
    <w:rsid w:val="00D24EC3"/>
    <w:rsid w:val="00D253E1"/>
    <w:rsid w:val="00D27FA8"/>
    <w:rsid w:val="00D33B2A"/>
    <w:rsid w:val="00D365D3"/>
    <w:rsid w:val="00D405B6"/>
    <w:rsid w:val="00D408F7"/>
    <w:rsid w:val="00D42F7B"/>
    <w:rsid w:val="00D55089"/>
    <w:rsid w:val="00D61682"/>
    <w:rsid w:val="00D62B19"/>
    <w:rsid w:val="00D65684"/>
    <w:rsid w:val="00D773A9"/>
    <w:rsid w:val="00D812C2"/>
    <w:rsid w:val="00D940D9"/>
    <w:rsid w:val="00DA76FA"/>
    <w:rsid w:val="00DB2B49"/>
    <w:rsid w:val="00DC28FE"/>
    <w:rsid w:val="00DC290C"/>
    <w:rsid w:val="00DC33B4"/>
    <w:rsid w:val="00DC6A7C"/>
    <w:rsid w:val="00DD4656"/>
    <w:rsid w:val="00DE0593"/>
    <w:rsid w:val="00DF01DF"/>
    <w:rsid w:val="00DF657F"/>
    <w:rsid w:val="00E018FB"/>
    <w:rsid w:val="00E057FB"/>
    <w:rsid w:val="00E135C8"/>
    <w:rsid w:val="00E21DC0"/>
    <w:rsid w:val="00E23E28"/>
    <w:rsid w:val="00E4248F"/>
    <w:rsid w:val="00E448D0"/>
    <w:rsid w:val="00E5462E"/>
    <w:rsid w:val="00E6763B"/>
    <w:rsid w:val="00E708B6"/>
    <w:rsid w:val="00E918C8"/>
    <w:rsid w:val="00EA5F73"/>
    <w:rsid w:val="00EB2DA9"/>
    <w:rsid w:val="00EB4F7C"/>
    <w:rsid w:val="00EB58BD"/>
    <w:rsid w:val="00EB6D30"/>
    <w:rsid w:val="00EC0FFC"/>
    <w:rsid w:val="00EC3CE8"/>
    <w:rsid w:val="00EC6DF9"/>
    <w:rsid w:val="00ED2E33"/>
    <w:rsid w:val="00ED3024"/>
    <w:rsid w:val="00ED6DC4"/>
    <w:rsid w:val="00ED71B6"/>
    <w:rsid w:val="00EE5474"/>
    <w:rsid w:val="00EF0E10"/>
    <w:rsid w:val="00EF2076"/>
    <w:rsid w:val="00EF2AFB"/>
    <w:rsid w:val="00EF3F3B"/>
    <w:rsid w:val="00F05B99"/>
    <w:rsid w:val="00F1676A"/>
    <w:rsid w:val="00F21793"/>
    <w:rsid w:val="00F25943"/>
    <w:rsid w:val="00F33D5C"/>
    <w:rsid w:val="00F347D0"/>
    <w:rsid w:val="00F37031"/>
    <w:rsid w:val="00F431FB"/>
    <w:rsid w:val="00F53ACB"/>
    <w:rsid w:val="00F60E46"/>
    <w:rsid w:val="00F6184E"/>
    <w:rsid w:val="00F63EC4"/>
    <w:rsid w:val="00F72F1A"/>
    <w:rsid w:val="00F8007E"/>
    <w:rsid w:val="00F805B8"/>
    <w:rsid w:val="00F81C8A"/>
    <w:rsid w:val="00F84805"/>
    <w:rsid w:val="00F84B1D"/>
    <w:rsid w:val="00F85E41"/>
    <w:rsid w:val="00FA0C09"/>
    <w:rsid w:val="00FA2B02"/>
    <w:rsid w:val="00FB1115"/>
    <w:rsid w:val="00FB4AE4"/>
    <w:rsid w:val="00FD6B29"/>
    <w:rsid w:val="00FE3AD1"/>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2009971"/>
  <w15:docId w15:val="{A7A41F10-E33C-4E6B-9CC8-3E8AFFBA9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rebuchet MS" w:eastAsia="Trebuchet MS" w:hAnsi="Trebuchet MS"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5F73"/>
    <w:rPr>
      <w:sz w:val="22"/>
      <w:szCs w:val="22"/>
      <w:lang w:eastAsia="en-US"/>
    </w:rPr>
  </w:style>
  <w:style w:type="paragraph" w:styleId="Heading1">
    <w:name w:val="heading 1"/>
    <w:basedOn w:val="Normal"/>
    <w:next w:val="BodyText"/>
    <w:link w:val="Heading1Char"/>
    <w:qFormat/>
    <w:rsid w:val="00102AD0"/>
    <w:pPr>
      <w:keepNext/>
      <w:keepLines/>
      <w:widowControl w:val="0"/>
      <w:spacing w:before="320" w:after="180"/>
      <w:outlineLvl w:val="0"/>
    </w:pPr>
    <w:rPr>
      <w:rFonts w:eastAsia="Times New Roman" w:cs="Arial"/>
      <w:bCs/>
      <w:color w:val="004B8D"/>
      <w:kern w:val="32"/>
      <w:sz w:val="36"/>
      <w:szCs w:val="32"/>
      <w:lang w:eastAsia="en-AU"/>
    </w:rPr>
  </w:style>
  <w:style w:type="paragraph" w:styleId="Heading2">
    <w:name w:val="heading 2"/>
    <w:basedOn w:val="Normal"/>
    <w:next w:val="BodyText"/>
    <w:link w:val="Heading2Char"/>
    <w:qFormat/>
    <w:rsid w:val="0056576C"/>
    <w:pPr>
      <w:keepNext/>
      <w:keepLines/>
      <w:spacing w:before="240" w:after="120"/>
      <w:outlineLvl w:val="1"/>
    </w:pPr>
    <w:rPr>
      <w:rFonts w:eastAsia="Times New Roman" w:cs="Arial"/>
      <w:bCs/>
      <w:iCs/>
      <w:color w:val="004B8D"/>
      <w:sz w:val="28"/>
      <w:szCs w:val="28"/>
      <w:lang w:eastAsia="en-AU"/>
    </w:rPr>
  </w:style>
  <w:style w:type="paragraph" w:styleId="Heading3">
    <w:name w:val="heading 3"/>
    <w:basedOn w:val="Normal"/>
    <w:next w:val="BodyText"/>
    <w:link w:val="Heading3Char"/>
    <w:qFormat/>
    <w:rsid w:val="00EA5F73"/>
    <w:pPr>
      <w:keepNext/>
      <w:keepLines/>
      <w:spacing w:before="240" w:after="120"/>
      <w:outlineLvl w:val="2"/>
    </w:pPr>
    <w:rPr>
      <w:rFonts w:eastAsia="Times New Roman"/>
      <w:b/>
      <w:bCs/>
      <w:color w:val="004B8D"/>
      <w:sz w:val="23"/>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eastAsia="Times New Roman"/>
      <w:bCs/>
      <w:i/>
      <w:color w:val="004B8D"/>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eastAsia="Times New Roman"/>
      <w:bCs/>
      <w:iCs/>
      <w:color w:val="004B8D"/>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szCs w:val="24"/>
      <w:lang w:eastAsia="en-AU"/>
    </w:rPr>
  </w:style>
  <w:style w:type="character" w:customStyle="1" w:styleId="BodyTextChar">
    <w:name w:val="Body Text Char"/>
    <w:link w:val="BodyText"/>
    <w:rsid w:val="00ED3024"/>
    <w:rPr>
      <w:rFonts w:eastAsia="Times New Roman" w:cs="Times New Roman"/>
      <w:szCs w:val="24"/>
      <w:lang w:eastAsia="en-AU"/>
    </w:rPr>
  </w:style>
  <w:style w:type="character" w:customStyle="1" w:styleId="Heading1Char">
    <w:name w:val="Heading 1 Char"/>
    <w:link w:val="Heading1"/>
    <w:rsid w:val="00102AD0"/>
    <w:rPr>
      <w:rFonts w:ascii="Trebuchet MS" w:eastAsia="Times New Roman" w:hAnsi="Trebuchet MS" w:cs="Arial"/>
      <w:bCs/>
      <w:color w:val="004B8D"/>
      <w:kern w:val="32"/>
      <w:sz w:val="36"/>
      <w:szCs w:val="32"/>
      <w:lang w:eastAsia="en-AU"/>
    </w:rPr>
  </w:style>
  <w:style w:type="character" w:customStyle="1" w:styleId="Heading2Char">
    <w:name w:val="Heading 2 Char"/>
    <w:link w:val="Heading2"/>
    <w:rsid w:val="0056576C"/>
    <w:rPr>
      <w:rFonts w:ascii="Trebuchet MS" w:eastAsia="Times New Roman" w:hAnsi="Trebuchet MS" w:cs="Arial"/>
      <w:bCs/>
      <w:iCs/>
      <w:color w:val="004B8D"/>
      <w:sz w:val="28"/>
      <w:szCs w:val="28"/>
      <w:lang w:eastAsia="en-AU"/>
    </w:rPr>
  </w:style>
  <w:style w:type="character" w:customStyle="1" w:styleId="Heading3Char">
    <w:name w:val="Heading 3 Char"/>
    <w:link w:val="Heading3"/>
    <w:rsid w:val="00EA5F73"/>
    <w:rPr>
      <w:rFonts w:ascii="Trebuchet MS" w:eastAsia="Times New Roman" w:hAnsi="Trebuchet MS" w:cs="Times New Roman"/>
      <w:b/>
      <w:bCs/>
      <w:color w:val="004B8D"/>
      <w:sz w:val="23"/>
      <w:szCs w:val="24"/>
      <w:lang w:eastAsia="en-AU"/>
    </w:rPr>
  </w:style>
  <w:style w:type="character" w:customStyle="1" w:styleId="Heading4Char">
    <w:name w:val="Heading 4 Char"/>
    <w:link w:val="Heading4"/>
    <w:semiHidden/>
    <w:rsid w:val="00D405B6"/>
    <w:rPr>
      <w:rFonts w:ascii="Trebuchet MS" w:eastAsia="Times New Roman" w:hAnsi="Trebuchet MS" w:cs="Times New Roman"/>
      <w:bCs/>
      <w:i/>
      <w:color w:val="004B8D"/>
      <w:sz w:val="19"/>
      <w:lang w:eastAsia="en-AU"/>
    </w:rPr>
  </w:style>
  <w:style w:type="paragraph" w:customStyle="1" w:styleId="NbrHeading1">
    <w:name w:val="Nbr Heading 1"/>
    <w:basedOn w:val="Heading1"/>
    <w:qFormat/>
    <w:rsid w:val="007E0CFC"/>
    <w:pPr>
      <w:numPr>
        <w:numId w:val="39"/>
      </w:numPr>
      <w:tabs>
        <w:tab w:val="right" w:leader="dot" w:pos="8789"/>
      </w:tabs>
    </w:pPr>
  </w:style>
  <w:style w:type="paragraph" w:customStyle="1" w:styleId="NbrHeading2">
    <w:name w:val="Nbr Heading 2"/>
    <w:basedOn w:val="Heading2"/>
    <w:qFormat/>
    <w:rsid w:val="007E0CFC"/>
    <w:pPr>
      <w:numPr>
        <w:ilvl w:val="1"/>
        <w:numId w:val="39"/>
      </w:numPr>
    </w:pPr>
  </w:style>
  <w:style w:type="paragraph" w:customStyle="1" w:styleId="NbrHeading3">
    <w:name w:val="Nbr Heading 3"/>
    <w:basedOn w:val="Heading3"/>
    <w:qFormat/>
    <w:rsid w:val="007E0CFC"/>
    <w:pPr>
      <w:numPr>
        <w:ilvl w:val="2"/>
        <w:numId w:val="39"/>
      </w:numPr>
    </w:pPr>
  </w:style>
  <w:style w:type="paragraph" w:styleId="Title">
    <w:name w:val="Title"/>
    <w:basedOn w:val="Normal"/>
    <w:next w:val="BodyText"/>
    <w:link w:val="TitleChar"/>
    <w:uiPriority w:val="9"/>
    <w:rsid w:val="00877099"/>
    <w:pPr>
      <w:spacing w:before="320" w:after="920"/>
    </w:pPr>
    <w:rPr>
      <w:rFonts w:eastAsia="Times New Roman"/>
      <w:color w:val="004B8D"/>
      <w:sz w:val="40"/>
      <w:szCs w:val="52"/>
    </w:rPr>
  </w:style>
  <w:style w:type="character" w:customStyle="1" w:styleId="TitleChar">
    <w:name w:val="Title Char"/>
    <w:link w:val="Title"/>
    <w:uiPriority w:val="9"/>
    <w:rsid w:val="00877099"/>
    <w:rPr>
      <w:rFonts w:ascii="Trebuchet MS" w:eastAsia="Times New Roman" w:hAnsi="Trebuchet MS" w:cs="Times New Roman"/>
      <w:color w:val="004B8D"/>
      <w:sz w:val="40"/>
      <w:szCs w:val="52"/>
    </w:rPr>
  </w:style>
  <w:style w:type="paragraph" w:styleId="Subtitle">
    <w:name w:val="Subtitle"/>
    <w:basedOn w:val="Normal"/>
    <w:next w:val="BodyText"/>
    <w:link w:val="SubtitleChar"/>
    <w:uiPriority w:val="10"/>
    <w:rsid w:val="00EC3CE8"/>
    <w:pPr>
      <w:numPr>
        <w:ilvl w:val="1"/>
      </w:numPr>
      <w:spacing w:before="280" w:after="280"/>
      <w:jc w:val="right"/>
    </w:pPr>
    <w:rPr>
      <w:rFonts w:eastAsia="Times New Roman"/>
      <w:iCs/>
      <w:color w:val="004B8D"/>
      <w:sz w:val="28"/>
      <w:szCs w:val="24"/>
    </w:rPr>
  </w:style>
  <w:style w:type="character" w:customStyle="1" w:styleId="SubtitleChar">
    <w:name w:val="Subtitle Char"/>
    <w:link w:val="Subtitle"/>
    <w:uiPriority w:val="10"/>
    <w:rsid w:val="00EC3CE8"/>
    <w:rPr>
      <w:rFonts w:ascii="Trebuchet MS" w:eastAsia="Times New Roman" w:hAnsi="Trebuchet MS" w:cs="Times New Roman"/>
      <w:iCs/>
      <w:color w:val="004B8D"/>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link w:val="BodyText2"/>
    <w:uiPriority w:val="99"/>
    <w:semiHidden/>
    <w:rsid w:val="003A286F"/>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link w:val="Header"/>
    <w:uiPriority w:val="99"/>
    <w:semiHidden/>
    <w:rsid w:val="003A286F"/>
    <w:rPr>
      <w:sz w:val="17"/>
    </w:rPr>
  </w:style>
  <w:style w:type="paragraph" w:styleId="Footer">
    <w:name w:val="footer"/>
    <w:basedOn w:val="Normal"/>
    <w:link w:val="FooterChar"/>
    <w:uiPriority w:val="99"/>
    <w:rsid w:val="002F2F7A"/>
    <w:pPr>
      <w:tabs>
        <w:tab w:val="left" w:pos="567"/>
        <w:tab w:val="right" w:pos="9639"/>
      </w:tabs>
    </w:pPr>
    <w:rPr>
      <w:noProof/>
      <w:sz w:val="18"/>
    </w:rPr>
  </w:style>
  <w:style w:type="character" w:customStyle="1" w:styleId="FooterChar">
    <w:name w:val="Footer Char"/>
    <w:link w:val="Footer"/>
    <w:uiPriority w:val="99"/>
    <w:rsid w:val="003A286F"/>
    <w:rPr>
      <w:noProof/>
      <w:sz w:val="18"/>
    </w:rPr>
  </w:style>
  <w:style w:type="paragraph" w:styleId="ListNumber0">
    <w:name w:val="List Number"/>
    <w:basedOn w:val="Normal"/>
    <w:uiPriority w:val="1"/>
    <w:qFormat/>
    <w:rsid w:val="00877099"/>
    <w:pPr>
      <w:spacing w:before="120" w:after="120" w:line="264" w:lineRule="auto"/>
    </w:pPr>
    <w:rPr>
      <w:rFonts w:eastAsia="Times New Roman"/>
      <w:szCs w:val="24"/>
      <w:lang w:eastAsia="en-AU"/>
    </w:rPr>
  </w:style>
  <w:style w:type="paragraph" w:styleId="ListBullet0">
    <w:name w:val="List Bullet"/>
    <w:basedOn w:val="Normal"/>
    <w:uiPriority w:val="1"/>
    <w:qFormat/>
    <w:rsid w:val="0056576C"/>
    <w:pPr>
      <w:numPr>
        <w:numId w:val="26"/>
      </w:numPr>
      <w:spacing w:before="120" w:after="120" w:line="264" w:lineRule="auto"/>
    </w:pPr>
    <w:rPr>
      <w:rFonts w:eastAsia="Times New Roman"/>
      <w:szCs w:val="24"/>
      <w:lang w:eastAsia="en-AU"/>
    </w:rPr>
  </w:style>
  <w:style w:type="paragraph" w:styleId="TOCHeading">
    <w:name w:val="TOC Heading"/>
    <w:basedOn w:val="Heading1"/>
    <w:next w:val="Normal"/>
    <w:uiPriority w:val="39"/>
    <w:semiHidden/>
    <w:rsid w:val="0061089F"/>
  </w:style>
  <w:style w:type="character" w:styleId="Hyperlink">
    <w:name w:val="Hyperlink"/>
    <w:uiPriority w:val="99"/>
    <w:rsid w:val="00D405B6"/>
    <w:rPr>
      <w:b/>
      <w:color w:val="004B8D"/>
      <w:u w:val="none"/>
    </w:rPr>
  </w:style>
  <w:style w:type="paragraph" w:styleId="TOC1">
    <w:name w:val="toc 1"/>
    <w:basedOn w:val="Normal"/>
    <w:next w:val="Normal"/>
    <w:uiPriority w:val="39"/>
    <w:semiHidden/>
    <w:rsid w:val="00E4248F"/>
    <w:pPr>
      <w:keepNext/>
      <w:tabs>
        <w:tab w:val="right" w:pos="7371"/>
      </w:tabs>
      <w:spacing w:before="240" w:after="60"/>
      <w:ind w:right="2552"/>
    </w:pPr>
    <w:rPr>
      <w:b/>
      <w:noProof/>
    </w:rPr>
  </w:style>
  <w:style w:type="paragraph" w:styleId="TOC2">
    <w:name w:val="toc 2"/>
    <w:basedOn w:val="Normal"/>
    <w:next w:val="Normal"/>
    <w:uiPriority w:val="39"/>
    <w:semiHidden/>
    <w:rsid w:val="00E4248F"/>
    <w:pPr>
      <w:tabs>
        <w:tab w:val="right" w:pos="7371"/>
      </w:tabs>
      <w:spacing w:before="60" w:after="60"/>
      <w:ind w:left="567" w:right="2552"/>
    </w:pPr>
    <w:rPr>
      <w:noProof/>
    </w:rPr>
  </w:style>
  <w:style w:type="paragraph" w:styleId="TOC3">
    <w:name w:val="toc 3"/>
    <w:basedOn w:val="Normal"/>
    <w:next w:val="Normal"/>
    <w:uiPriority w:val="39"/>
    <w:semiHidden/>
    <w:rsid w:val="00DF01DF"/>
    <w:pPr>
      <w:tabs>
        <w:tab w:val="right" w:pos="9639"/>
      </w:tabs>
      <w:spacing w:after="60"/>
      <w:ind w:right="567"/>
    </w:pPr>
    <w:rPr>
      <w:sz w:val="18"/>
    </w:rPr>
  </w:style>
  <w:style w:type="table" w:styleId="TableGrid">
    <w:name w:val="Table Grid"/>
    <w:basedOn w:val="TableNormal"/>
    <w:uiPriority w:val="59"/>
    <w:rsid w:val="00DB2B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102AD0"/>
    <w:pPr>
      <w:spacing w:before="60" w:after="60"/>
    </w:pPr>
    <w:rPr>
      <w:sz w:val="20"/>
    </w:rPr>
  </w:style>
  <w:style w:type="paragraph" w:customStyle="1" w:styleId="TableBullet">
    <w:name w:val="Table Bullet"/>
    <w:basedOn w:val="Normal"/>
    <w:uiPriority w:val="4"/>
    <w:qFormat/>
    <w:rsid w:val="0056576C"/>
    <w:pPr>
      <w:numPr>
        <w:numId w:val="34"/>
      </w:numPr>
      <w:spacing w:before="60" w:after="60"/>
    </w:pPr>
    <w:rPr>
      <w:rFonts w:eastAsia="Times New Roman"/>
      <w:sz w:val="20"/>
      <w:szCs w:val="24"/>
      <w:lang w:eastAsia="en-AU"/>
    </w:rPr>
  </w:style>
  <w:style w:type="paragraph" w:customStyle="1" w:styleId="TableNumber">
    <w:name w:val="Table Number"/>
    <w:basedOn w:val="TableBody"/>
    <w:uiPriority w:val="4"/>
    <w:qFormat/>
    <w:rsid w:val="003A08A5"/>
    <w:pPr>
      <w:numPr>
        <w:numId w:val="8"/>
      </w:numPr>
    </w:pPr>
  </w:style>
  <w:style w:type="character" w:customStyle="1" w:styleId="Heading5Char">
    <w:name w:val="Heading 5 Char"/>
    <w:link w:val="Heading5"/>
    <w:semiHidden/>
    <w:rsid w:val="00D405B6"/>
    <w:rPr>
      <w:rFonts w:ascii="Trebuchet MS" w:eastAsia="Times New Roman" w:hAnsi="Trebuchet MS" w:cs="Times New Roman"/>
      <w:bCs/>
      <w:iCs/>
      <w:color w:val="004B8D"/>
      <w:sz w:val="19"/>
      <w:szCs w:val="26"/>
      <w:u w:val="single"/>
      <w:lang w:eastAsia="en-AU"/>
    </w:rPr>
  </w:style>
  <w:style w:type="character" w:customStyle="1" w:styleId="Heading6Char">
    <w:name w:val="Heading 6 Char"/>
    <w:link w:val="Heading6"/>
    <w:uiPriority w:val="99"/>
    <w:semiHidden/>
    <w:rsid w:val="003A286F"/>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link w:val="BodyText3"/>
    <w:uiPriority w:val="99"/>
    <w:semiHidden/>
    <w:rsid w:val="003A286F"/>
    <w:rPr>
      <w:rFonts w:eastAsia="Times New Roman" w:cs="Times New Roman"/>
      <w:szCs w:val="16"/>
      <w:lang w:eastAsia="en-AU"/>
    </w:rPr>
  </w:style>
  <w:style w:type="paragraph" w:styleId="ListParagraph0">
    <w:name w:val="List Paragraph"/>
    <w:basedOn w:val="ListBullet0"/>
    <w:uiPriority w:val="1"/>
    <w:semiHidden/>
    <w:qFormat/>
    <w:rsid w:val="003A08A5"/>
    <w:pPr>
      <w:numPr>
        <w:numId w:val="6"/>
      </w:numPr>
    </w:pPr>
  </w:style>
  <w:style w:type="paragraph" w:styleId="TOC4">
    <w:name w:val="toc 4"/>
    <w:basedOn w:val="TOC1"/>
    <w:next w:val="Normal"/>
    <w:uiPriority w:val="39"/>
    <w:semiHidden/>
    <w:rsid w:val="00E4248F"/>
    <w:pPr>
      <w:tabs>
        <w:tab w:val="left" w:pos="567"/>
      </w:tabs>
      <w:ind w:left="567" w:hanging="567"/>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rPr>
  </w:style>
  <w:style w:type="character" w:customStyle="1" w:styleId="QuoteChar">
    <w:name w:val="Quote Char"/>
    <w:link w:val="Quote"/>
    <w:uiPriority w:val="99"/>
    <w:semiHidden/>
    <w:rsid w:val="003A286F"/>
    <w:rPr>
      <w:i/>
      <w:iCs/>
      <w:color w:val="000000"/>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rPr>
  </w:style>
  <w:style w:type="paragraph" w:customStyle="1" w:styleId="TableTitle">
    <w:name w:val="Table Title"/>
    <w:basedOn w:val="Caption"/>
    <w:uiPriority w:val="6"/>
    <w:qFormat/>
    <w:rsid w:val="009E3BCF"/>
    <w:pPr>
      <w:keepNext/>
    </w:pPr>
    <w:rPr>
      <w:color w:val="004B8D"/>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semiHidden/>
    <w:rsid w:val="00E4248F"/>
    <w:pPr>
      <w:tabs>
        <w:tab w:val="left" w:pos="1134"/>
      </w:tabs>
      <w:ind w:left="1134" w:hanging="567"/>
    </w:pPr>
  </w:style>
  <w:style w:type="paragraph" w:styleId="TOC6">
    <w:name w:val="toc 6"/>
    <w:basedOn w:val="TOC3"/>
    <w:next w:val="Normal"/>
    <w:uiPriority w:val="39"/>
    <w:semiHidden/>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877099"/>
    <w:pPr>
      <w:numPr>
        <w:numId w:val="12"/>
      </w:numPr>
    </w:pPr>
  </w:style>
  <w:style w:type="numbering" w:customStyle="1" w:styleId="ListParagraph">
    <w:name w:val="List_Paragraph"/>
    <w:uiPriority w:val="99"/>
    <w:rsid w:val="003A08A5"/>
    <w:pPr>
      <w:numPr>
        <w:numId w:val="3"/>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877099"/>
    <w:pPr>
      <w:numPr>
        <w:numId w:val="10"/>
      </w:numPr>
    </w:pPr>
  </w:style>
  <w:style w:type="numbering" w:customStyle="1" w:styleId="ListAlpha">
    <w:name w:val="List_Alpha"/>
    <w:uiPriority w:val="99"/>
    <w:rsid w:val="00877099"/>
    <w:pPr>
      <w:numPr>
        <w:numId w:val="10"/>
      </w:numPr>
    </w:pPr>
  </w:style>
  <w:style w:type="paragraph" w:styleId="TableofAuthorities">
    <w:name w:val="table of authorities"/>
    <w:basedOn w:val="Normal"/>
    <w:next w:val="Normal"/>
    <w:uiPriority w:val="99"/>
    <w:semiHidden/>
    <w:unhideWhenUsed/>
    <w:rsid w:val="00E018FB"/>
    <w:pPr>
      <w:ind w:left="200" w:hanging="200"/>
    </w:pPr>
  </w:style>
  <w:style w:type="paragraph" w:styleId="TableofFigures">
    <w:name w:val="table of figures"/>
    <w:basedOn w:val="TOC3"/>
    <w:next w:val="Normal"/>
    <w:uiPriority w:val="99"/>
    <w:semiHidden/>
    <w:rsid w:val="00F6184E"/>
    <w:rPr>
      <w:noProof/>
    </w:rPr>
  </w:style>
  <w:style w:type="character" w:styleId="FollowedHyperlink">
    <w:name w:val="FollowedHyperlink"/>
    <w:uiPriority w:val="99"/>
    <w:semiHidden/>
    <w:rsid w:val="000B6FA1"/>
    <w:rPr>
      <w:color w:val="7F7F7F"/>
      <w:u w:val="single"/>
    </w:rPr>
  </w:style>
  <w:style w:type="paragraph" w:customStyle="1" w:styleId="AppendixH1">
    <w:name w:val="Appendix H1"/>
    <w:basedOn w:val="Normal"/>
    <w:next w:val="BodyText"/>
    <w:uiPriority w:val="99"/>
    <w:semiHidden/>
    <w:qFormat/>
    <w:rsid w:val="004F2A3C"/>
    <w:pPr>
      <w:pageBreakBefore/>
      <w:numPr>
        <w:numId w:val="1"/>
      </w:numPr>
      <w:tabs>
        <w:tab w:val="left" w:pos="567"/>
      </w:tabs>
      <w:spacing w:before="60" w:after="320"/>
    </w:pPr>
    <w:rPr>
      <w:rFonts w:eastAsia="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877099"/>
    <w:pPr>
      <w:numPr>
        <w:ilvl w:val="1"/>
      </w:numPr>
    </w:pPr>
  </w:style>
  <w:style w:type="paragraph" w:customStyle="1" w:styleId="ListAlpha3">
    <w:name w:val="List Alpha 3"/>
    <w:basedOn w:val="ListAlpha2"/>
    <w:uiPriority w:val="19"/>
    <w:semiHidden/>
    <w:rsid w:val="00877099"/>
    <w:pPr>
      <w:numPr>
        <w:ilvl w:val="2"/>
      </w:numPr>
    </w:pPr>
  </w:style>
  <w:style w:type="paragraph" w:customStyle="1" w:styleId="ListAlpha4">
    <w:name w:val="List Alpha 4"/>
    <w:basedOn w:val="ListAlpha3"/>
    <w:uiPriority w:val="19"/>
    <w:semiHidden/>
    <w:rsid w:val="00877099"/>
    <w:pPr>
      <w:numPr>
        <w:ilvl w:val="3"/>
      </w:numPr>
    </w:pPr>
  </w:style>
  <w:style w:type="paragraph" w:customStyle="1" w:styleId="ListAlpha6">
    <w:name w:val="List Alpha 6"/>
    <w:basedOn w:val="ListAlpha4"/>
    <w:uiPriority w:val="19"/>
    <w:semiHidden/>
    <w:rsid w:val="00877099"/>
    <w:pPr>
      <w:numPr>
        <w:ilvl w:val="5"/>
      </w:numPr>
    </w:pPr>
  </w:style>
  <w:style w:type="paragraph" w:customStyle="1" w:styleId="ListAlpha5">
    <w:name w:val="List Alpha 5"/>
    <w:basedOn w:val="ListAlpha6"/>
    <w:uiPriority w:val="19"/>
    <w:semiHidden/>
    <w:rsid w:val="00877099"/>
    <w:pPr>
      <w:numPr>
        <w:ilvl w:val="4"/>
      </w:numPr>
    </w:pPr>
  </w:style>
  <w:style w:type="paragraph" w:styleId="ListBullet2">
    <w:name w:val="List Bullet 2"/>
    <w:basedOn w:val="ListBullet0"/>
    <w:uiPriority w:val="19"/>
    <w:rsid w:val="0056576C"/>
    <w:pPr>
      <w:numPr>
        <w:ilvl w:val="1"/>
      </w:numPr>
    </w:pPr>
  </w:style>
  <w:style w:type="paragraph" w:styleId="ListBullet3">
    <w:name w:val="List Bullet 3"/>
    <w:basedOn w:val="ListBullet0"/>
    <w:uiPriority w:val="19"/>
    <w:semiHidden/>
    <w:rsid w:val="0056576C"/>
    <w:pPr>
      <w:numPr>
        <w:ilvl w:val="2"/>
      </w:numPr>
    </w:pPr>
  </w:style>
  <w:style w:type="paragraph" w:styleId="ListBullet4">
    <w:name w:val="List Bullet 4"/>
    <w:basedOn w:val="ListBullet0"/>
    <w:uiPriority w:val="19"/>
    <w:semiHidden/>
    <w:rsid w:val="0056576C"/>
    <w:pPr>
      <w:numPr>
        <w:ilvl w:val="3"/>
      </w:numPr>
    </w:pPr>
  </w:style>
  <w:style w:type="paragraph" w:styleId="ListBullet5">
    <w:name w:val="List Bullet 5"/>
    <w:basedOn w:val="ListBullet0"/>
    <w:uiPriority w:val="19"/>
    <w:semiHidden/>
    <w:rsid w:val="0056576C"/>
    <w:pPr>
      <w:numPr>
        <w:ilvl w:val="4"/>
      </w:numPr>
    </w:pPr>
  </w:style>
  <w:style w:type="paragraph" w:customStyle="1" w:styleId="ListBullet6">
    <w:name w:val="List Bullet 6"/>
    <w:basedOn w:val="ListBullet0"/>
    <w:uiPriority w:val="19"/>
    <w:semiHidden/>
    <w:rsid w:val="0056576C"/>
    <w:pPr>
      <w:numPr>
        <w:ilvl w:val="5"/>
      </w:numPr>
    </w:pPr>
  </w:style>
  <w:style w:type="paragraph" w:styleId="ListNumber2">
    <w:name w:val="List Number 2"/>
    <w:basedOn w:val="ListNumber0"/>
    <w:uiPriority w:val="19"/>
    <w:rsid w:val="00877099"/>
    <w:pPr>
      <w:numPr>
        <w:ilvl w:val="1"/>
      </w:numPr>
    </w:pPr>
  </w:style>
  <w:style w:type="paragraph" w:styleId="ListNumber3">
    <w:name w:val="List Number 3"/>
    <w:basedOn w:val="ListNumber0"/>
    <w:uiPriority w:val="19"/>
    <w:semiHidden/>
    <w:rsid w:val="00877099"/>
    <w:pPr>
      <w:numPr>
        <w:ilvl w:val="2"/>
      </w:numPr>
    </w:pPr>
  </w:style>
  <w:style w:type="paragraph" w:styleId="ListNumber4">
    <w:name w:val="List Number 4"/>
    <w:basedOn w:val="ListNumber0"/>
    <w:uiPriority w:val="19"/>
    <w:semiHidden/>
    <w:rsid w:val="00877099"/>
    <w:pPr>
      <w:numPr>
        <w:ilvl w:val="3"/>
      </w:numPr>
    </w:pPr>
  </w:style>
  <w:style w:type="paragraph" w:styleId="ListNumber5">
    <w:name w:val="List Number 5"/>
    <w:basedOn w:val="ListNumber0"/>
    <w:uiPriority w:val="19"/>
    <w:semiHidden/>
    <w:rsid w:val="00877099"/>
    <w:pPr>
      <w:numPr>
        <w:ilvl w:val="4"/>
      </w:numPr>
    </w:pPr>
  </w:style>
  <w:style w:type="paragraph" w:customStyle="1" w:styleId="ListNumber6">
    <w:name w:val="List Number 6"/>
    <w:basedOn w:val="ListNumber0"/>
    <w:uiPriority w:val="19"/>
    <w:semiHidden/>
    <w:rsid w:val="00877099"/>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56576C"/>
    <w:pPr>
      <w:numPr>
        <w:numId w:val="11"/>
      </w:numPr>
    </w:pPr>
  </w:style>
  <w:style w:type="numbering" w:customStyle="1" w:styleId="ListNumberedHeadings">
    <w:name w:val="List_NumberedHeadings"/>
    <w:uiPriority w:val="99"/>
    <w:rsid w:val="007E0CFC"/>
    <w:pPr>
      <w:numPr>
        <w:numId w:val="2"/>
      </w:numPr>
    </w:pPr>
  </w:style>
  <w:style w:type="numbering" w:customStyle="1" w:styleId="ListTableBullet">
    <w:name w:val="List_TableBullet"/>
    <w:uiPriority w:val="99"/>
    <w:rsid w:val="0056576C"/>
    <w:pPr>
      <w:numPr>
        <w:numId w:val="4"/>
      </w:numPr>
    </w:pPr>
  </w:style>
  <w:style w:type="numbering" w:customStyle="1" w:styleId="ListTableNumber">
    <w:name w:val="List_TableNumber"/>
    <w:uiPriority w:val="99"/>
    <w:rsid w:val="003A08A5"/>
    <w:pPr>
      <w:numPr>
        <w:numId w:val="5"/>
      </w:numPr>
    </w:pPr>
  </w:style>
  <w:style w:type="paragraph" w:customStyle="1" w:styleId="TableBullet2">
    <w:name w:val="Table Bullet 2"/>
    <w:basedOn w:val="TableBullet"/>
    <w:uiPriority w:val="19"/>
    <w:rsid w:val="0056576C"/>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uiPriority w:val="99"/>
    <w:semiHidden/>
    <w:rsid w:val="002106C4"/>
    <w:rPr>
      <w:color w:val="808080"/>
    </w:rPr>
  </w:style>
  <w:style w:type="paragraph" w:customStyle="1" w:styleId="TableSubtitle">
    <w:name w:val="Table Subtitle"/>
    <w:basedOn w:val="TableHeading"/>
    <w:uiPriority w:val="3"/>
    <w:qFormat/>
    <w:rsid w:val="00102AD0"/>
    <w:rPr>
      <w:b w:val="0"/>
      <w:i/>
      <w:sz w:val="20"/>
    </w:rPr>
  </w:style>
  <w:style w:type="table" w:customStyle="1" w:styleId="V2020Table">
    <w:name w:val="V2020 Table"/>
    <w:basedOn w:val="TableNormal"/>
    <w:uiPriority w:val="99"/>
    <w:rsid w:val="00980D15"/>
    <w:tblPr>
      <w:tblStyleRowBandSize w:val="1"/>
      <w:tblStyleColBandSize w:val="1"/>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cantSplit/>
    </w:trPr>
    <w:tcPr>
      <w:shd w:val="clear" w:color="auto" w:fill="FFF7E2"/>
    </w:tcPr>
    <w:tblStylePr w:type="firstRow">
      <w:tblPr/>
      <w:trPr>
        <w:cantSplit/>
        <w:tblHeader/>
      </w:trPr>
      <w:tcPr>
        <w:tcBorders>
          <w:insideV w:val="single" w:sz="4" w:space="0" w:color="FFFFFF"/>
        </w:tcBorders>
        <w:shd w:val="clear" w:color="auto" w:fill="004B8D"/>
      </w:tcPr>
    </w:tblStylePr>
    <w:tblStylePr w:type="lastRow">
      <w:rPr>
        <w:b/>
      </w:rPr>
    </w:tblStylePr>
    <w:tblStylePr w:type="firstCol">
      <w:tblPr/>
      <w:tcPr>
        <w:tcBorders>
          <w:insideH w:val="nil"/>
        </w:tcBorders>
        <w:shd w:val="clear" w:color="auto" w:fill="004B8D"/>
      </w:tcPr>
    </w:tblStylePr>
    <w:tblStylePr w:type="band2Vert">
      <w:tblPr/>
      <w:tcPr>
        <w:shd w:val="clear" w:color="auto" w:fill="FFECB3"/>
      </w:tcPr>
    </w:tblStylePr>
    <w:tblStylePr w:type="band2Horz">
      <w:tblPr/>
      <w:tcPr>
        <w:shd w:val="clear" w:color="auto" w:fill="FFECB3"/>
      </w:tcPr>
    </w:tblStylePr>
  </w:style>
  <w:style w:type="table" w:customStyle="1" w:styleId="VITable">
    <w:name w:val="VI Table"/>
    <w:basedOn w:val="TableNormal"/>
    <w:uiPriority w:val="99"/>
    <w:rsid w:val="00980D15"/>
    <w:tblPr>
      <w:tblStyleRowBandSize w:val="1"/>
      <w:tblStyleColBandSize w:val="1"/>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cantSplit/>
    </w:trPr>
    <w:tcPr>
      <w:shd w:val="clear" w:color="auto" w:fill="BDC6DF"/>
    </w:tcPr>
    <w:tblStylePr w:type="firstRow">
      <w:tblPr/>
      <w:trPr>
        <w:cantSplit/>
        <w:tblHeader/>
      </w:trPr>
      <w:tcPr>
        <w:tcBorders>
          <w:insideV w:val="single" w:sz="4" w:space="0" w:color="FFFFFF"/>
        </w:tcBorders>
        <w:shd w:val="clear" w:color="auto" w:fill="004B8D"/>
      </w:tcPr>
    </w:tblStylePr>
    <w:tblStylePr w:type="lastRow">
      <w:rPr>
        <w:b/>
        <w:color w:val="FFFFFF"/>
      </w:rPr>
      <w:tblPr/>
      <w:tcPr>
        <w:shd w:val="clear" w:color="auto" w:fill="AAAAAA"/>
      </w:tcPr>
    </w:tblStylePr>
    <w:tblStylePr w:type="firstCol">
      <w:tblPr/>
      <w:tcPr>
        <w:tcBorders>
          <w:insideH w:val="nil"/>
        </w:tcBorders>
        <w:shd w:val="clear" w:color="auto" w:fill="004B8D"/>
      </w:tcPr>
    </w:tblStylePr>
    <w:tblStylePr w:type="band2Vert">
      <w:tblPr/>
      <w:tcPr>
        <w:shd w:val="clear" w:color="auto" w:fill="A1AED1"/>
      </w:tcPr>
    </w:tblStylePr>
    <w:tblStylePr w:type="band2Horz">
      <w:tblPr/>
      <w:tcPr>
        <w:shd w:val="clear" w:color="auto" w:fill="A1AED1"/>
      </w:tcPr>
    </w:tblStylePr>
  </w:style>
  <w:style w:type="paragraph" w:customStyle="1" w:styleId="Indented">
    <w:name w:val="Indented"/>
    <w:basedOn w:val="BodyText"/>
    <w:uiPriority w:val="2"/>
    <w:qFormat/>
    <w:rsid w:val="00980D15"/>
    <w:pPr>
      <w:ind w:left="567"/>
    </w:pPr>
  </w:style>
  <w:style w:type="paragraph" w:customStyle="1" w:styleId="TableTotal">
    <w:name w:val="Table Total"/>
    <w:basedOn w:val="TableBody"/>
    <w:uiPriority w:val="4"/>
    <w:qFormat/>
    <w:rsid w:val="00102AD0"/>
    <w:rPr>
      <w:b/>
    </w:rPr>
  </w:style>
  <w:style w:type="character" w:customStyle="1" w:styleId="DocTitle">
    <w:name w:val="DocTitle"/>
    <w:basedOn w:val="DefaultParagraphFont"/>
    <w:uiPriority w:val="10"/>
    <w:rsid w:val="00EA5F73"/>
  </w:style>
  <w:style w:type="table" w:customStyle="1" w:styleId="V2020Summary">
    <w:name w:val="V2020 Summary"/>
    <w:basedOn w:val="TableNormal"/>
    <w:uiPriority w:val="99"/>
    <w:rsid w:val="0020556D"/>
    <w:tblPr>
      <w:tblStyleRowBandSize w:val="1"/>
      <w:tblInd w:w="108" w:type="dxa"/>
    </w:tblPr>
    <w:trPr>
      <w:cantSplit/>
    </w:trPr>
    <w:tblStylePr w:type="band1Horz">
      <w:pPr>
        <w:keepNext/>
        <w:wordWrap/>
      </w:pPr>
      <w:rPr>
        <w:b w:val="0"/>
      </w:rPr>
      <w:tblPr/>
      <w:tcPr>
        <w:shd w:val="clear" w:color="auto" w:fill="004B8D"/>
      </w:tcPr>
    </w:tblStylePr>
    <w:tblStylePr w:type="band2Horz">
      <w:tblPr/>
      <w:tcPr>
        <w:shd w:val="clear" w:color="auto" w:fill="FFF7E2"/>
      </w:tcPr>
    </w:tblStylePr>
  </w:style>
  <w:style w:type="table" w:customStyle="1" w:styleId="RecommendationSummary">
    <w:name w:val="Recommendation Summary"/>
    <w:basedOn w:val="TableNormal"/>
    <w:uiPriority w:val="99"/>
    <w:rsid w:val="00541745"/>
    <w:tblPr>
      <w:tblStyleRowBandSize w:val="1"/>
      <w:tblInd w:w="108" w:type="dxa"/>
    </w:tblPr>
    <w:trPr>
      <w:cantSplit/>
    </w:trPr>
    <w:tblStylePr w:type="band1Horz">
      <w:pPr>
        <w:keepNext/>
        <w:wordWrap/>
      </w:pPr>
      <w:rPr>
        <w:b w:val="0"/>
      </w:rPr>
      <w:tblPr/>
      <w:tcPr>
        <w:shd w:val="clear" w:color="auto" w:fill="004B8D"/>
      </w:tcPr>
    </w:tblStylePr>
    <w:tblStylePr w:type="band2Horz">
      <w:tblPr/>
      <w:tcPr>
        <w:shd w:val="clear" w:color="auto" w:fill="FFF7E2"/>
      </w:tcPr>
    </w:tblStylePr>
  </w:style>
  <w:style w:type="table" w:customStyle="1" w:styleId="RecommendationTable">
    <w:name w:val="Recommendation Table"/>
    <w:basedOn w:val="V2020Table"/>
    <w:uiPriority w:val="99"/>
    <w:rsid w:val="00541745"/>
    <w:tblPr/>
    <w:tcPr>
      <w:shd w:val="clear" w:color="auto" w:fill="FFF7E2"/>
    </w:tcPr>
    <w:tblStylePr w:type="firstRow">
      <w:tblPr/>
      <w:trPr>
        <w:cantSplit/>
        <w:tblHeader/>
      </w:trPr>
      <w:tcPr>
        <w:tcBorders>
          <w:insideV w:val="single" w:sz="4" w:space="0" w:color="FFFFFF"/>
        </w:tcBorders>
        <w:shd w:val="clear" w:color="auto" w:fill="004B8D"/>
      </w:tcPr>
    </w:tblStylePr>
    <w:tblStylePr w:type="lastRow">
      <w:rPr>
        <w:b/>
      </w:rPr>
    </w:tblStylePr>
    <w:tblStylePr w:type="firstCol">
      <w:tblPr/>
      <w:tcPr>
        <w:tcBorders>
          <w:insideH w:val="nil"/>
        </w:tcBorders>
        <w:shd w:val="clear" w:color="auto" w:fill="004B8D"/>
      </w:tcPr>
    </w:tblStylePr>
    <w:tblStylePr w:type="band2Vert">
      <w:tblPr/>
      <w:tcPr>
        <w:shd w:val="clear" w:color="auto" w:fill="FFECB3"/>
      </w:tcPr>
    </w:tblStylePr>
    <w:tblStylePr w:type="band1Horz">
      <w:rPr>
        <w:b w:val="0"/>
        <w:color w:val="FFFFFF"/>
      </w:rPr>
      <w:tblPr/>
      <w:tcPr>
        <w:shd w:val="clear" w:color="auto" w:fill="004B8D"/>
      </w:tcPr>
    </w:tblStylePr>
    <w:tblStylePr w:type="band2Horz">
      <w:rPr>
        <w:b w:val="0"/>
        <w:color w:val="auto"/>
      </w:rPr>
      <w:tblPr/>
      <w:tcPr>
        <w:shd w:val="clear" w:color="auto" w:fill="FFF7E2"/>
      </w:tcPr>
    </w:tblStylePr>
  </w:style>
  <w:style w:type="numbering" w:customStyle="1" w:styleId="ListNumber1">
    <w:name w:val="List_Number1"/>
    <w:uiPriority w:val="99"/>
    <w:rsid w:val="00E918C8"/>
  </w:style>
  <w:style w:type="paragraph" w:styleId="EndnoteText">
    <w:name w:val="endnote text"/>
    <w:basedOn w:val="Normal"/>
    <w:link w:val="EndnoteTextChar"/>
    <w:uiPriority w:val="99"/>
    <w:unhideWhenUsed/>
    <w:rsid w:val="00E918C8"/>
    <w:rPr>
      <w:sz w:val="20"/>
      <w:szCs w:val="20"/>
    </w:rPr>
  </w:style>
  <w:style w:type="character" w:customStyle="1" w:styleId="EndnoteTextChar">
    <w:name w:val="Endnote Text Char"/>
    <w:link w:val="EndnoteText"/>
    <w:uiPriority w:val="99"/>
    <w:rsid w:val="00E918C8"/>
    <w:rPr>
      <w:rFonts w:ascii="Trebuchet MS" w:eastAsia="Trebuchet MS" w:hAnsi="Trebuchet MS" w:cs="Times New Roman"/>
      <w:sz w:val="20"/>
      <w:szCs w:val="20"/>
    </w:rPr>
  </w:style>
  <w:style w:type="character" w:styleId="EndnoteReference">
    <w:name w:val="endnote reference"/>
    <w:uiPriority w:val="99"/>
    <w:semiHidden/>
    <w:unhideWhenUsed/>
    <w:rsid w:val="00E918C8"/>
    <w:rPr>
      <w:vertAlign w:val="superscript"/>
    </w:rPr>
  </w:style>
  <w:style w:type="character" w:styleId="CommentReference">
    <w:name w:val="annotation reference"/>
    <w:uiPriority w:val="99"/>
    <w:semiHidden/>
    <w:unhideWhenUsed/>
    <w:rsid w:val="00F347D0"/>
    <w:rPr>
      <w:sz w:val="16"/>
      <w:szCs w:val="16"/>
    </w:rPr>
  </w:style>
  <w:style w:type="paragraph" w:styleId="CommentText">
    <w:name w:val="annotation text"/>
    <w:basedOn w:val="Normal"/>
    <w:link w:val="CommentTextChar"/>
    <w:uiPriority w:val="99"/>
    <w:semiHidden/>
    <w:unhideWhenUsed/>
    <w:rsid w:val="00F347D0"/>
    <w:rPr>
      <w:sz w:val="20"/>
      <w:szCs w:val="20"/>
    </w:rPr>
  </w:style>
  <w:style w:type="character" w:customStyle="1" w:styleId="CommentTextChar">
    <w:name w:val="Comment Text Char"/>
    <w:link w:val="CommentText"/>
    <w:uiPriority w:val="99"/>
    <w:semiHidden/>
    <w:rsid w:val="00F347D0"/>
    <w:rPr>
      <w:lang w:eastAsia="en-US"/>
    </w:rPr>
  </w:style>
  <w:style w:type="paragraph" w:styleId="CommentSubject">
    <w:name w:val="annotation subject"/>
    <w:basedOn w:val="CommentText"/>
    <w:next w:val="CommentText"/>
    <w:link w:val="CommentSubjectChar"/>
    <w:uiPriority w:val="99"/>
    <w:semiHidden/>
    <w:unhideWhenUsed/>
    <w:rsid w:val="00F347D0"/>
    <w:rPr>
      <w:b/>
      <w:bCs/>
    </w:rPr>
  </w:style>
  <w:style w:type="character" w:customStyle="1" w:styleId="CommentSubjectChar">
    <w:name w:val="Comment Subject Char"/>
    <w:link w:val="CommentSubject"/>
    <w:uiPriority w:val="99"/>
    <w:semiHidden/>
    <w:rsid w:val="00F347D0"/>
    <w:rPr>
      <w:b/>
      <w:bCs/>
      <w:lang w:eastAsia="en-US"/>
    </w:rPr>
  </w:style>
  <w:style w:type="paragraph" w:styleId="FootnoteText">
    <w:name w:val="footnote text"/>
    <w:basedOn w:val="Normal"/>
    <w:link w:val="FootnoteTextChar"/>
    <w:uiPriority w:val="99"/>
    <w:semiHidden/>
    <w:unhideWhenUsed/>
    <w:rsid w:val="00260E78"/>
    <w:rPr>
      <w:sz w:val="20"/>
      <w:szCs w:val="20"/>
    </w:rPr>
  </w:style>
  <w:style w:type="character" w:customStyle="1" w:styleId="FootnoteTextChar">
    <w:name w:val="Footnote Text Char"/>
    <w:basedOn w:val="DefaultParagraphFont"/>
    <w:link w:val="FootnoteText"/>
    <w:uiPriority w:val="99"/>
    <w:semiHidden/>
    <w:rsid w:val="00260E78"/>
    <w:rPr>
      <w:lang w:eastAsia="en-US"/>
    </w:rPr>
  </w:style>
  <w:style w:type="character" w:styleId="FootnoteReference">
    <w:name w:val="footnote reference"/>
    <w:basedOn w:val="DefaultParagraphFont"/>
    <w:uiPriority w:val="99"/>
    <w:semiHidden/>
    <w:unhideWhenUsed/>
    <w:rsid w:val="00260E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2161244">
      <w:bodyDiv w:val="1"/>
      <w:marLeft w:val="0"/>
      <w:marRight w:val="0"/>
      <w:marTop w:val="0"/>
      <w:marBottom w:val="0"/>
      <w:divBdr>
        <w:top w:val="none" w:sz="0" w:space="0" w:color="auto"/>
        <w:left w:val="none" w:sz="0" w:space="0" w:color="auto"/>
        <w:bottom w:val="none" w:sz="0" w:space="0" w:color="auto"/>
        <w:right w:val="none" w:sz="0" w:space="0" w:color="auto"/>
      </w:divBdr>
    </w:div>
    <w:div w:id="544486908">
      <w:bodyDiv w:val="1"/>
      <w:marLeft w:val="0"/>
      <w:marRight w:val="0"/>
      <w:marTop w:val="0"/>
      <w:marBottom w:val="0"/>
      <w:divBdr>
        <w:top w:val="none" w:sz="0" w:space="0" w:color="auto"/>
        <w:left w:val="none" w:sz="0" w:space="0" w:color="auto"/>
        <w:bottom w:val="none" w:sz="0" w:space="0" w:color="auto"/>
        <w:right w:val="none" w:sz="0" w:space="0" w:color="auto"/>
      </w:divBdr>
    </w:div>
    <w:div w:id="801701955">
      <w:bodyDiv w:val="1"/>
      <w:marLeft w:val="0"/>
      <w:marRight w:val="0"/>
      <w:marTop w:val="0"/>
      <w:marBottom w:val="0"/>
      <w:divBdr>
        <w:top w:val="none" w:sz="0" w:space="0" w:color="auto"/>
        <w:left w:val="none" w:sz="0" w:space="0" w:color="auto"/>
        <w:bottom w:val="none" w:sz="0" w:space="0" w:color="auto"/>
        <w:right w:val="none" w:sz="0" w:space="0" w:color="auto"/>
      </w:divBdr>
    </w:div>
    <w:div w:id="1695185678">
      <w:bodyDiv w:val="1"/>
      <w:marLeft w:val="0"/>
      <w:marRight w:val="0"/>
      <w:marTop w:val="0"/>
      <w:marBottom w:val="0"/>
      <w:divBdr>
        <w:top w:val="none" w:sz="0" w:space="0" w:color="auto"/>
        <w:left w:val="none" w:sz="0" w:space="0" w:color="auto"/>
        <w:bottom w:val="none" w:sz="0" w:space="0" w:color="auto"/>
        <w:right w:val="none" w:sz="0" w:space="0" w:color="auto"/>
      </w:divBdr>
    </w:div>
    <w:div w:id="191084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stateoftheservice.apsc.gov.au/learn-more/representation-of-people-with-disability-data/" TargetMode="External"/><Relationship Id="rId2" Type="http://schemas.openxmlformats.org/officeDocument/2006/relationships/hyperlink" Target="http://www.apsc.gov.au/publications-and-media/archive/publications-archive/people-with-disability" TargetMode="External"/><Relationship Id="rId1" Type="http://schemas.openxmlformats.org/officeDocument/2006/relationships/hyperlink" Target="http://www.abs.gov.au/ausstats/abs@.nsf/mf/4430.0.10.001"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onlon\AppData\Roaming\Microsoft\Templates\Info%20Shee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B18C37-0CDF-47BF-A057-BF4FF57F0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Info Sheet Template</Template>
  <TotalTime>0</TotalTime>
  <Pages>6</Pages>
  <Words>2462</Words>
  <Characters>14035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16465</CharactersWithSpaces>
  <SharedDoc>false</SharedDoc>
  <HLinks>
    <vt:vector size="18" baseType="variant">
      <vt:variant>
        <vt:i4>4915213</vt:i4>
      </vt:variant>
      <vt:variant>
        <vt:i4>6</vt:i4>
      </vt:variant>
      <vt:variant>
        <vt:i4>0</vt:i4>
      </vt:variant>
      <vt:variant>
        <vt:i4>5</vt:i4>
      </vt:variant>
      <vt:variant>
        <vt:lpwstr>https://stateoftheservice.apsc.gov.au/learn-more/representation-of-people-with-disability-data/</vt:lpwstr>
      </vt:variant>
      <vt:variant>
        <vt:lpwstr>Table2</vt:lpwstr>
      </vt:variant>
      <vt:variant>
        <vt:i4>1966152</vt:i4>
      </vt:variant>
      <vt:variant>
        <vt:i4>3</vt:i4>
      </vt:variant>
      <vt:variant>
        <vt:i4>0</vt:i4>
      </vt:variant>
      <vt:variant>
        <vt:i4>5</vt:i4>
      </vt:variant>
      <vt:variant>
        <vt:lpwstr>http://www.apsc.gov.au/publications-and-media/archive/publications-archive/people-with-disability</vt:lpwstr>
      </vt:variant>
      <vt:variant>
        <vt:lpwstr/>
      </vt:variant>
      <vt:variant>
        <vt:i4>4325478</vt:i4>
      </vt:variant>
      <vt:variant>
        <vt:i4>0</vt:i4>
      </vt:variant>
      <vt:variant>
        <vt:i4>0</vt:i4>
      </vt:variant>
      <vt:variant>
        <vt:i4>5</vt:i4>
      </vt:variant>
      <vt:variant>
        <vt:lpwstr>http://www.abs.gov.au/ausstats/abs@.nsf/mf/4430.0.10.001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Haylea Fitzsimmons;Jess Cutter</dc:creator>
  <cp:keywords/>
  <cp:lastModifiedBy>Gail Conlon</cp:lastModifiedBy>
  <cp:revision>2</cp:revision>
  <cp:lastPrinted>2018-01-25T05:01:00Z</cp:lastPrinted>
  <dcterms:created xsi:type="dcterms:W3CDTF">2018-01-25T05:05:00Z</dcterms:created>
  <dcterms:modified xsi:type="dcterms:W3CDTF">2018-01-25T05:05:00Z</dcterms:modified>
</cp:coreProperties>
</file>