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22A2B8" w14:textId="77777777" w:rsidR="002106C4" w:rsidRDefault="007E0D8E" w:rsidP="00895FF2">
      <w:pPr>
        <w:pStyle w:val="Title"/>
        <w:spacing w:after="480"/>
        <w:rPr>
          <w:rStyle w:val="DocTitle"/>
        </w:rPr>
      </w:pPr>
      <w:r>
        <w:rPr>
          <w:rStyle w:val="DocTitle"/>
        </w:rPr>
        <w:t xml:space="preserve">Position statement on </w:t>
      </w:r>
      <w:r w:rsidR="009C505E">
        <w:rPr>
          <w:rStyle w:val="DocTitle"/>
        </w:rPr>
        <w:t xml:space="preserve">a </w:t>
      </w:r>
      <w:r>
        <w:rPr>
          <w:rStyle w:val="DocTitle"/>
        </w:rPr>
        <w:t xml:space="preserve">nationally </w:t>
      </w:r>
      <w:r w:rsidR="009C505E">
        <w:rPr>
          <w:rStyle w:val="DocTitle"/>
        </w:rPr>
        <w:t xml:space="preserve">      </w:t>
      </w:r>
      <w:r>
        <w:rPr>
          <w:rStyle w:val="DocTitle"/>
        </w:rPr>
        <w:t xml:space="preserve">consistent </w:t>
      </w:r>
      <w:r w:rsidR="00F165C6">
        <w:rPr>
          <w:rStyle w:val="DocTitle"/>
        </w:rPr>
        <w:t xml:space="preserve">approach to </w:t>
      </w:r>
      <w:r>
        <w:rPr>
          <w:rStyle w:val="DocTitle"/>
        </w:rPr>
        <w:t>subsidised spectacle schemes</w:t>
      </w:r>
    </w:p>
    <w:p w14:paraId="75C93080" w14:textId="77777777" w:rsidR="007E0D8E" w:rsidRDefault="007E0D8E" w:rsidP="007E0D8E">
      <w:pPr>
        <w:pStyle w:val="Heading2"/>
      </w:pPr>
      <w:bookmarkStart w:id="0" w:name="_GoBack"/>
      <w:bookmarkEnd w:id="0"/>
      <w:r w:rsidRPr="007E0D8E">
        <w:t>Vision 2020 Australia position</w:t>
      </w:r>
    </w:p>
    <w:p w14:paraId="42569F87" w14:textId="77777777" w:rsidR="004D7FDD" w:rsidRDefault="004D7FDD" w:rsidP="004D7FDD">
      <w:pPr>
        <w:pStyle w:val="BodyText"/>
      </w:pPr>
      <w:r>
        <w:t xml:space="preserve">Evidence shows that </w:t>
      </w:r>
      <w:r w:rsidR="00A71CB9" w:rsidRPr="00A71CB9">
        <w:t>Aboriginal and Torres Strait Islander adults have six times the rate of blindness and three times the rate of vision l</w:t>
      </w:r>
      <w:r w:rsidR="00A71CB9">
        <w:t xml:space="preserve">oss </w:t>
      </w:r>
      <w:r w:rsidR="0048336B">
        <w:t xml:space="preserve">when compared to the non-Indigenous </w:t>
      </w:r>
      <w:r w:rsidR="00A71CB9">
        <w:t>population</w:t>
      </w:r>
      <w:r>
        <w:t xml:space="preserve">. Around </w:t>
      </w:r>
      <w:r w:rsidR="00A71CB9" w:rsidRPr="00A71CB9">
        <w:t>94 per cent of vision loss for Aboriginal and Torres Strait Islander people is preventable or treatable; however 35 per cent of Aboriginal and Torres Strait Islander adults have never had an eye exam</w:t>
      </w:r>
      <w:r>
        <w:t>. In the next 10 years it is estimated that over 34,000 Indigenous Australians will be affected by blindness</w:t>
      </w:r>
      <w:r w:rsidR="00A71CB9">
        <w:t xml:space="preserve"> or vision impairment</w:t>
      </w:r>
      <w:r w:rsidR="008E7DE2">
        <w:t xml:space="preserve">, </w:t>
      </w:r>
      <w:r w:rsidR="008E7DE2" w:rsidRPr="008E7DE2">
        <w:t xml:space="preserve">56 per cent of </w:t>
      </w:r>
      <w:r w:rsidR="008E7DE2">
        <w:t xml:space="preserve">which will be </w:t>
      </w:r>
      <w:r w:rsidR="008E7DE2" w:rsidRPr="008E7DE2">
        <w:t xml:space="preserve">due to </w:t>
      </w:r>
      <w:r w:rsidR="00253761">
        <w:t xml:space="preserve">uncorrected </w:t>
      </w:r>
      <w:r w:rsidR="008E7DE2" w:rsidRPr="008E7DE2">
        <w:t>refractive error</w:t>
      </w:r>
      <w:r w:rsidR="008E7DE2">
        <w:t>.</w:t>
      </w:r>
    </w:p>
    <w:p w14:paraId="1032CFCB" w14:textId="510434B7" w:rsidR="00F0214E" w:rsidRDefault="00F0214E" w:rsidP="00F0214E">
      <w:pPr>
        <w:pStyle w:val="BodyText"/>
      </w:pPr>
      <w:r>
        <w:t xml:space="preserve">The Vison 2020 Australia </w:t>
      </w:r>
      <w:r w:rsidRPr="00F0214E">
        <w:t>Aboriginal and Torres Strait Islander Committee</w:t>
      </w:r>
      <w:r>
        <w:t xml:space="preserve"> (the Committee) has endorsed the </w:t>
      </w:r>
      <w:r>
        <w:rPr>
          <w:i/>
          <w:iCs/>
          <w:szCs w:val="22"/>
        </w:rPr>
        <w:t xml:space="preserve">Roadmap to Close the Gap for Vision </w:t>
      </w:r>
      <w:r>
        <w:rPr>
          <w:iCs/>
          <w:szCs w:val="22"/>
        </w:rPr>
        <w:t>(the</w:t>
      </w:r>
      <w:r>
        <w:t xml:space="preserve"> Roadmap)</w:t>
      </w:r>
      <w:r w:rsidR="00872827">
        <w:t>,</w:t>
      </w:r>
      <w:r>
        <w:t xml:space="preserve"> which provides a comprehensive solution to tackling the elimination of avoidable blindness and vision loss</w:t>
      </w:r>
      <w:r w:rsidR="00253761">
        <w:t xml:space="preserve"> for </w:t>
      </w:r>
      <w:r w:rsidR="00C0443D">
        <w:t>Aboriginal and Torres Strait Islander people</w:t>
      </w:r>
      <w:r w:rsidR="0048336B">
        <w:t>,</w:t>
      </w:r>
      <w:r w:rsidR="00C770D1">
        <w:t xml:space="preserve"> </w:t>
      </w:r>
      <w:r w:rsidR="00C770D1">
        <w:rPr>
          <w:rFonts w:ascii="Trebuchet MS" w:hAnsi="Trebuchet MS"/>
        </w:rPr>
        <w:t xml:space="preserve">through policy changes to improve the quality and sustainability of eye care services. </w:t>
      </w:r>
      <w:r w:rsidR="00C770D1">
        <w:t>In particular, the Roadmap proposes the establishment of nationally consistent Indigenous subsidised spectacle schemes that provide low-cost</w:t>
      </w:r>
      <w:r w:rsidRPr="00F165C6">
        <w:t>, quality-assured, cost-certain, product-certain spectacles to Aboriginal and Torres Strait Islander people.</w:t>
      </w:r>
    </w:p>
    <w:p w14:paraId="085A58BF" w14:textId="77777777" w:rsidR="00F165C6" w:rsidRDefault="00F0214E" w:rsidP="000443A1">
      <w:pPr>
        <w:pStyle w:val="BodyText"/>
      </w:pPr>
      <w:r>
        <w:t xml:space="preserve">The Committee has also supported efforts </w:t>
      </w:r>
      <w:r w:rsidR="0048336B">
        <w:t>of</w:t>
      </w:r>
      <w:r>
        <w:t xml:space="preserve"> </w:t>
      </w:r>
      <w:r w:rsidR="00CE665D">
        <w:t xml:space="preserve">the Optometry Australia Aboriginal and Torres Strait Islander Eye Health Working Group </w:t>
      </w:r>
      <w:r w:rsidR="0048336B">
        <w:t xml:space="preserve">in advocacy </w:t>
      </w:r>
      <w:r w:rsidR="004F16CC">
        <w:t xml:space="preserve">to the Australian and jurisdictional governments </w:t>
      </w:r>
      <w:r w:rsidR="00F165C6">
        <w:t xml:space="preserve">for </w:t>
      </w:r>
      <w:r w:rsidR="0048336B">
        <w:t xml:space="preserve">all </w:t>
      </w:r>
      <w:r w:rsidR="00F165C6">
        <w:t xml:space="preserve">schemes to be </w:t>
      </w:r>
      <w:r w:rsidR="00CD06D1">
        <w:t>aligned with</w:t>
      </w:r>
      <w:r w:rsidR="00F165C6">
        <w:t xml:space="preserve"> </w:t>
      </w:r>
      <w:r w:rsidR="000443A1">
        <w:t xml:space="preserve">a set of </w:t>
      </w:r>
      <w:r w:rsidR="00D71201">
        <w:t xml:space="preserve">nationally consistent </w:t>
      </w:r>
      <w:r w:rsidR="000443A1">
        <w:t>p</w:t>
      </w:r>
      <w:r w:rsidR="00F165C6" w:rsidRPr="000443A1">
        <w:t xml:space="preserve">rinciples </w:t>
      </w:r>
      <w:r w:rsidR="0048336B">
        <w:t xml:space="preserve">and recommended standards </w:t>
      </w:r>
      <w:r w:rsidR="00F165C6" w:rsidRPr="000443A1">
        <w:t xml:space="preserve">for </w:t>
      </w:r>
      <w:r w:rsidR="0057137E">
        <w:t xml:space="preserve">the provision of </w:t>
      </w:r>
      <w:r w:rsidR="00F165C6" w:rsidRPr="000443A1">
        <w:t>subsidised spectacle</w:t>
      </w:r>
      <w:r w:rsidR="0057137E">
        <w:t>s</w:t>
      </w:r>
      <w:r w:rsidR="00F165C6" w:rsidRPr="000443A1">
        <w:t xml:space="preserve"> for Aboriginal and Torres Strait Islander Australians</w:t>
      </w:r>
      <w:r w:rsidR="004F16CC">
        <w:rPr>
          <w:i/>
        </w:rPr>
        <w:t>.</w:t>
      </w:r>
      <w:r w:rsidR="00F165C6">
        <w:t xml:space="preserve"> </w:t>
      </w:r>
      <w:r w:rsidR="00AD0D19">
        <w:t>Developed in consultation with and endorsed by the National Aboriginal Community Controlled Health Organisation and its state affiliate organisations, t</w:t>
      </w:r>
      <w:r w:rsidR="004F16CC">
        <w:t>he p</w:t>
      </w:r>
      <w:r w:rsidR="00F165C6">
        <w:t xml:space="preserve">rinciples </w:t>
      </w:r>
      <w:r w:rsidR="0057137E">
        <w:t xml:space="preserve">and recommended standards </w:t>
      </w:r>
      <w:r w:rsidR="0048336B">
        <w:t xml:space="preserve">(outlined in full in Appendix A) </w:t>
      </w:r>
      <w:r w:rsidR="004F16CC">
        <w:t xml:space="preserve">detail </w:t>
      </w:r>
      <w:r w:rsidR="0057137E">
        <w:t xml:space="preserve">the </w:t>
      </w:r>
      <w:r w:rsidR="004F16CC">
        <w:t xml:space="preserve">key elements of </w:t>
      </w:r>
      <w:r w:rsidR="000443A1" w:rsidRPr="000443A1">
        <w:t xml:space="preserve">subsidised spectacle </w:t>
      </w:r>
      <w:r w:rsidR="004F16CC">
        <w:t xml:space="preserve">schemes which would meet the needs of Aboriginal and Torres Strait Islander </w:t>
      </w:r>
      <w:r w:rsidR="0057137E">
        <w:t>people regardless of their location</w:t>
      </w:r>
      <w:r w:rsidR="000443A1">
        <w:t xml:space="preserve">. </w:t>
      </w:r>
    </w:p>
    <w:p w14:paraId="0D0B3B22" w14:textId="4A63466C" w:rsidR="00E801F2" w:rsidRDefault="00E801F2" w:rsidP="00064ADF">
      <w:pPr>
        <w:pStyle w:val="BodyText"/>
      </w:pPr>
      <w:r>
        <w:t xml:space="preserve">Vision 2020 Australia </w:t>
      </w:r>
      <w:r w:rsidR="00EB39E1">
        <w:t xml:space="preserve">endorses </w:t>
      </w:r>
      <w:r>
        <w:t xml:space="preserve">the </w:t>
      </w:r>
      <w:r w:rsidR="00D71201">
        <w:t>Optometry Australia</w:t>
      </w:r>
      <w:r w:rsidR="00064ADF">
        <w:t xml:space="preserve"> </w:t>
      </w:r>
      <w:r w:rsidR="00064ADF" w:rsidRPr="00064ADF">
        <w:rPr>
          <w:i/>
        </w:rPr>
        <w:t>Principles for nationally consistent subsidised spectacle schemes for Aboriginal and Torres Strait Islander people: Recommended implementation standards</w:t>
      </w:r>
      <w:r w:rsidR="00D71201">
        <w:rPr>
          <w:i/>
        </w:rPr>
        <w:t>.</w:t>
      </w:r>
      <w:r w:rsidR="00903ABE">
        <w:rPr>
          <w:i/>
        </w:rPr>
        <w:t xml:space="preserve"> </w:t>
      </w:r>
      <w:r w:rsidR="00A623F9">
        <w:t>G</w:t>
      </w:r>
      <w:r w:rsidR="00E67B73">
        <w:t xml:space="preserve">iven that subsidy </w:t>
      </w:r>
      <w:r w:rsidR="005A3DFC" w:rsidRPr="005A3DFC">
        <w:t xml:space="preserve">schemes are already operational in all Australian jurisdictions, </w:t>
      </w:r>
      <w:r w:rsidR="00E67B73">
        <w:t xml:space="preserve">Vision 2020 Australia considers </w:t>
      </w:r>
      <w:r w:rsidR="005A3DFC" w:rsidRPr="005A3DFC">
        <w:t xml:space="preserve">it would be most efficient to build on existing infrastructure </w:t>
      </w:r>
      <w:r w:rsidR="00A623F9">
        <w:t>in many cases</w:t>
      </w:r>
      <w:r w:rsidR="005A3DFC" w:rsidRPr="005A3DFC">
        <w:t>.</w:t>
      </w:r>
    </w:p>
    <w:p w14:paraId="02E82D1F" w14:textId="77777777" w:rsidR="00342A1D" w:rsidRDefault="008E7DE2" w:rsidP="008E7DE2">
      <w:pPr>
        <w:pStyle w:val="BodyText"/>
      </w:pPr>
      <w:r>
        <w:t xml:space="preserve">A nationally consistent approach to </w:t>
      </w:r>
      <w:r w:rsidR="0048336B">
        <w:t xml:space="preserve">providing subsidised </w:t>
      </w:r>
      <w:r w:rsidR="0048336B" w:rsidRPr="00F165C6">
        <w:t>spectacles to Aboriginal and Torres Strait Islander people</w:t>
      </w:r>
      <w:r w:rsidR="0048336B" w:rsidDel="0048336B">
        <w:t xml:space="preserve"> </w:t>
      </w:r>
      <w:r>
        <w:t xml:space="preserve">would provide </w:t>
      </w:r>
      <w:r w:rsidR="00342A1D" w:rsidRPr="00342A1D">
        <w:t xml:space="preserve">the opportunity to make a dramatic impact in </w:t>
      </w:r>
      <w:r w:rsidR="00342A1D">
        <w:t xml:space="preserve">eye health and vision care outcomes for </w:t>
      </w:r>
      <w:r w:rsidR="00342A1D" w:rsidRPr="00342A1D">
        <w:t xml:space="preserve">Aboriginal and Torres Strait Islander </w:t>
      </w:r>
      <w:r w:rsidR="00342A1D">
        <w:t xml:space="preserve">people across the country. </w:t>
      </w:r>
    </w:p>
    <w:p w14:paraId="2017A05B" w14:textId="77777777" w:rsidR="00342A1D" w:rsidRDefault="00342A1D">
      <w:pPr>
        <w:spacing w:before="80" w:after="80"/>
        <w:rPr>
          <w:rFonts w:asciiTheme="majorHAnsi" w:eastAsia="Times New Roman" w:hAnsiTheme="majorHAnsi" w:cs="Arial"/>
          <w:bCs/>
          <w:iCs/>
          <w:color w:val="004B8D" w:themeColor="accent1"/>
          <w:sz w:val="28"/>
          <w:szCs w:val="28"/>
          <w:lang w:eastAsia="en-AU"/>
        </w:rPr>
      </w:pPr>
      <w:r>
        <w:br w:type="page"/>
      </w:r>
    </w:p>
    <w:p w14:paraId="456F8F57" w14:textId="77777777" w:rsidR="007E0D8E" w:rsidRDefault="007E0D8E" w:rsidP="007E0D8E">
      <w:pPr>
        <w:pStyle w:val="Heading2"/>
      </w:pPr>
      <w:r w:rsidRPr="007E0D8E">
        <w:lastRenderedPageBreak/>
        <w:t>Policy context</w:t>
      </w:r>
    </w:p>
    <w:p w14:paraId="63DAC3A3" w14:textId="3437A004" w:rsidR="00342A1D" w:rsidRDefault="0003268F" w:rsidP="00342A1D">
      <w:pPr>
        <w:pStyle w:val="BodyText"/>
      </w:pPr>
      <w:r w:rsidRPr="0003268F">
        <w:t xml:space="preserve">The 2008 National Indigenous Eye Health Survey (NIEHS) reports that 54 per cent of vision loss experienced by Aboriginal and Torres Strait Islander adults is due to uncorrected refractive error, and this occurs at a rate five times higher than for non-Indigenous Australians. </w:t>
      </w:r>
      <w:r w:rsidR="00342A1D" w:rsidRPr="00475B4D">
        <w:t>The Roadmap highlights that access to a good supply of low-cost spectacles is key to addressing this refractive error vision loss.</w:t>
      </w:r>
      <w:r w:rsidR="00342A1D">
        <w:t xml:space="preserve">  </w:t>
      </w:r>
    </w:p>
    <w:p w14:paraId="5A90258C" w14:textId="77777777" w:rsidR="00342A1D" w:rsidRDefault="00342A1D" w:rsidP="00342A1D">
      <w:pPr>
        <w:pStyle w:val="BodyText"/>
      </w:pPr>
      <w:r w:rsidRPr="005A3DFC">
        <w:t xml:space="preserve">It is </w:t>
      </w:r>
      <w:r>
        <w:t xml:space="preserve">also </w:t>
      </w:r>
      <w:r w:rsidRPr="005A3DFC">
        <w:t xml:space="preserve">well established that there are common cultural, financial and/or geographical barriers to Aboriginal and Torres Strait Islander Australians accessing eye care and needed spectacles. </w:t>
      </w:r>
      <w:r>
        <w:t>As a result, t</w:t>
      </w:r>
      <w:r w:rsidRPr="005A3DFC">
        <w:t>here is a resounding need for a good supply system for spectacles for Aboriginal and Torres Strait Islander people, to overcome some of these barriers.</w:t>
      </w:r>
    </w:p>
    <w:p w14:paraId="66FD43D3" w14:textId="7CFDB9BC" w:rsidR="00342A1D" w:rsidRDefault="00253761" w:rsidP="00342A1D">
      <w:pPr>
        <w:pStyle w:val="BodyText"/>
      </w:pPr>
      <w:r>
        <w:t xml:space="preserve">Although </w:t>
      </w:r>
      <w:r w:rsidR="00342A1D">
        <w:t>s</w:t>
      </w:r>
      <w:r w:rsidR="00342A1D" w:rsidRPr="005A3DFC">
        <w:t xml:space="preserve">ubsidised spectacle schemes are </w:t>
      </w:r>
      <w:r w:rsidR="00342A1D">
        <w:t xml:space="preserve">currently </w:t>
      </w:r>
      <w:r w:rsidR="00342A1D" w:rsidRPr="005A3DFC">
        <w:t>operational in all jurisdictions</w:t>
      </w:r>
      <w:r>
        <w:t xml:space="preserve">, </w:t>
      </w:r>
      <w:r w:rsidR="00342A1D">
        <w:t xml:space="preserve">existing schemes </w:t>
      </w:r>
      <w:r w:rsidR="00342A1D" w:rsidRPr="005A3DFC">
        <w:t>have varying, often limited</w:t>
      </w:r>
      <w:r w:rsidR="00342A1D">
        <w:t>,</w:t>
      </w:r>
      <w:r w:rsidR="00342A1D" w:rsidRPr="005A3DFC">
        <w:t xml:space="preserve"> impact in overcoming access barriers to prescription glasses for Aboriginal and Torres Strait Islander people. Notably however, a targeted scheme in Victoria </w:t>
      </w:r>
      <w:r w:rsidR="00C0443D">
        <w:t>is recognised as an example of a scheme which meets</w:t>
      </w:r>
      <w:r w:rsidR="00342A1D" w:rsidRPr="005A3DFC">
        <w:t xml:space="preserve"> the needs of Aboriginal and Torres Strait Islander people in the region.</w:t>
      </w:r>
      <w:r w:rsidR="00342A1D">
        <w:t xml:space="preserve"> </w:t>
      </w:r>
    </w:p>
    <w:p w14:paraId="1D1FD8EF" w14:textId="77777777" w:rsidR="007E0D8E" w:rsidRDefault="007E0D8E" w:rsidP="007E0D8E">
      <w:pPr>
        <w:pStyle w:val="Heading2"/>
      </w:pPr>
      <w:r>
        <w:t>About Vision 2020 Australia</w:t>
      </w:r>
    </w:p>
    <w:p w14:paraId="69D21626" w14:textId="77777777" w:rsidR="00286F13" w:rsidRDefault="007E0D8E" w:rsidP="00E801F2">
      <w:pPr>
        <w:pStyle w:val="BodyText"/>
      </w:pPr>
      <w:r>
        <w:t>Established in October 2000, Vision 2020 Australia is part of VISION 2020: The Right to Sight, a global initiative of the World Health Organisation and the International Agency for the Prevention of Blindness. Vision 2020 Australia is the peak body for the eye health and vision care sector, representing over 50 member organisations involved in: local and global eye care; health promotion; low vision support; vision rehabilitation; eye research; professional assistance and community support.</w:t>
      </w:r>
    </w:p>
    <w:p w14:paraId="3BA89B07" w14:textId="77777777" w:rsidR="00AD042B" w:rsidRDefault="00AD042B" w:rsidP="00AD042B">
      <w:pPr>
        <w:pStyle w:val="Heading3"/>
      </w:pPr>
      <w:r>
        <w:t>The Vision 2020 Australia Aboriginal and Torres Strait Islander Committee</w:t>
      </w:r>
    </w:p>
    <w:p w14:paraId="4E50329C" w14:textId="77777777" w:rsidR="00342A1D" w:rsidRDefault="00342A1D" w:rsidP="00342A1D">
      <w:pPr>
        <w:pStyle w:val="BodyText"/>
      </w:pPr>
      <w:r>
        <w:t xml:space="preserve">The Vision 2020 Australia Aboriginal and Torres Strait Islander Committee (the Committee) provides a platform for members to collaborate and shape the direction of Vision 2020 Australia’s systemic advocacy related to Aboriginal and Torres Strait Islander eye health and vision care. </w:t>
      </w:r>
      <w:r w:rsidRPr="00B8027C">
        <w:t xml:space="preserve">The Committee is working to capitalise on the Australian Government’s commitment to eye health and vision care, noting that Aboriginal and Torres Strait Islander eye health is a key priority of the </w:t>
      </w:r>
      <w:r w:rsidRPr="00E319FA">
        <w:rPr>
          <w:i/>
        </w:rPr>
        <w:t>Implementation plan under the National Framework for Action to Promote Eye Health and Prevent Avoidable Blindness and Vision Loss</w:t>
      </w:r>
      <w:r w:rsidRPr="00B8027C">
        <w:t xml:space="preserve"> (NFIP). The Committee also assists the Australian Government to identify policy and budgetary adjustments to improve the provision and coordination of eye health and vision care services for Aboriginal and Torres Strait Islander people.</w:t>
      </w:r>
    </w:p>
    <w:p w14:paraId="75B2670E" w14:textId="7CDE63B2" w:rsidR="000C4056" w:rsidRDefault="000C4056" w:rsidP="00286F13">
      <w:pPr>
        <w:pStyle w:val="BodyText"/>
      </w:pPr>
    </w:p>
    <w:p w14:paraId="6D349D65" w14:textId="77777777" w:rsidR="000C4056" w:rsidRPr="000C4056" w:rsidRDefault="000C4056" w:rsidP="000C4056">
      <w:pPr>
        <w:rPr>
          <w:lang w:eastAsia="en-AU"/>
        </w:rPr>
      </w:pPr>
    </w:p>
    <w:p w14:paraId="58C8D7AA" w14:textId="77777777" w:rsidR="000C4056" w:rsidRPr="000C4056" w:rsidRDefault="000C4056" w:rsidP="000C4056">
      <w:pPr>
        <w:rPr>
          <w:lang w:eastAsia="en-AU"/>
        </w:rPr>
      </w:pPr>
    </w:p>
    <w:p w14:paraId="0F0CC6E7" w14:textId="77777777" w:rsidR="000C4056" w:rsidRPr="000C4056" w:rsidRDefault="000C4056" w:rsidP="000C4056">
      <w:pPr>
        <w:rPr>
          <w:lang w:eastAsia="en-AU"/>
        </w:rPr>
      </w:pPr>
    </w:p>
    <w:p w14:paraId="7AE6B318" w14:textId="77777777" w:rsidR="000C4056" w:rsidRPr="000C4056" w:rsidRDefault="000C4056" w:rsidP="000C4056">
      <w:pPr>
        <w:rPr>
          <w:lang w:eastAsia="en-AU"/>
        </w:rPr>
      </w:pPr>
    </w:p>
    <w:p w14:paraId="41E09736" w14:textId="77777777" w:rsidR="000C4056" w:rsidRPr="000C4056" w:rsidRDefault="000C4056" w:rsidP="000C4056">
      <w:pPr>
        <w:rPr>
          <w:lang w:eastAsia="en-AU"/>
        </w:rPr>
      </w:pPr>
    </w:p>
    <w:p w14:paraId="3D7A0B63" w14:textId="77777777" w:rsidR="000C4056" w:rsidRPr="000C4056" w:rsidRDefault="000C4056" w:rsidP="000C4056">
      <w:pPr>
        <w:rPr>
          <w:lang w:eastAsia="en-AU"/>
        </w:rPr>
      </w:pPr>
    </w:p>
    <w:p w14:paraId="7AA3A9EF" w14:textId="0E139FAC" w:rsidR="000C4056" w:rsidRDefault="000C4056" w:rsidP="000C4056">
      <w:pPr>
        <w:rPr>
          <w:lang w:eastAsia="en-AU"/>
        </w:rPr>
      </w:pPr>
    </w:p>
    <w:p w14:paraId="21E140A2" w14:textId="597954B3" w:rsidR="000C4056" w:rsidRDefault="000C4056" w:rsidP="000C4056">
      <w:pPr>
        <w:rPr>
          <w:lang w:eastAsia="en-AU"/>
        </w:rPr>
      </w:pPr>
    </w:p>
    <w:p w14:paraId="1EB34CAB" w14:textId="5F90F657" w:rsidR="000C4056" w:rsidRDefault="000C4056" w:rsidP="000C4056">
      <w:pPr>
        <w:rPr>
          <w:lang w:eastAsia="en-AU"/>
        </w:rPr>
      </w:pPr>
    </w:p>
    <w:p w14:paraId="5747469D" w14:textId="77777777" w:rsidR="00286F13" w:rsidRPr="000C4056" w:rsidRDefault="00286F13" w:rsidP="000C4056">
      <w:pPr>
        <w:jc w:val="center"/>
        <w:rPr>
          <w:lang w:eastAsia="en-AU"/>
        </w:rPr>
      </w:pPr>
    </w:p>
    <w:sectPr w:rsidR="00286F13" w:rsidRPr="000C4056" w:rsidSect="003373F9">
      <w:footerReference w:type="default" r:id="rId9"/>
      <w:headerReference w:type="first" r:id="rId10"/>
      <w:footerReference w:type="first" r:id="rId11"/>
      <w:pgSz w:w="11906" w:h="16838" w:code="9"/>
      <w:pgMar w:top="1276" w:right="1985" w:bottom="709" w:left="1134" w:header="851" w:footer="567"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313F04" w15:done="0"/>
  <w15:commentEx w15:paraId="6D4B310D" w15:done="0"/>
  <w15:commentEx w15:paraId="4ED7CA3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67A83D" w14:textId="77777777" w:rsidR="007A6C41" w:rsidRDefault="007A6C41" w:rsidP="00185154">
      <w:r>
        <w:separator/>
      </w:r>
    </w:p>
    <w:p w14:paraId="67ADF1C4" w14:textId="77777777" w:rsidR="007A6C41" w:rsidRDefault="007A6C41"/>
  </w:endnote>
  <w:endnote w:type="continuationSeparator" w:id="0">
    <w:p w14:paraId="63A19465" w14:textId="77777777" w:rsidR="007A6C41" w:rsidRDefault="007A6C41" w:rsidP="00185154">
      <w:r>
        <w:continuationSeparator/>
      </w:r>
    </w:p>
    <w:p w14:paraId="48C6C2DA" w14:textId="77777777" w:rsidR="007A6C41" w:rsidRDefault="007A6C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D9E973" w14:textId="1908ACEB" w:rsidR="002C3C6D" w:rsidRPr="003C0CC1" w:rsidRDefault="000C4056" w:rsidP="003C0CC1">
    <w:pPr>
      <w:pStyle w:val="Footer"/>
    </w:pPr>
    <w:r w:rsidRPr="000C4056">
      <w:t>Position statement on a nationally</w:t>
    </w:r>
    <w:r>
      <w:t xml:space="preserve"> </w:t>
    </w:r>
    <w:r w:rsidRPr="000C4056">
      <w:t>consistent approach to subsidised spectacle schemes</w:t>
    </w:r>
    <w:r w:rsidR="002C3C6D">
      <w:rPr>
        <w:lang w:eastAsia="en-AU"/>
      </w:rPr>
      <mc:AlternateContent>
        <mc:Choice Requires="wps">
          <w:drawing>
            <wp:anchor distT="0" distB="0" distL="114300" distR="114300" simplePos="0" relativeHeight="251661312" behindDoc="1" locked="0" layoutInCell="1" allowOverlap="1" wp14:anchorId="6C85AEDB" wp14:editId="5F9202AA">
              <wp:simplePos x="0" y="0"/>
              <wp:positionH relativeFrom="margin">
                <wp:align>right</wp:align>
              </wp:positionH>
              <wp:positionV relativeFrom="page">
                <wp:align>bottom</wp:align>
              </wp:positionV>
              <wp:extent cx="468000" cy="52200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D1D6A9" w14:textId="77777777" w:rsidR="002C3C6D" w:rsidRDefault="002C3C6D" w:rsidP="003C0CC1">
                          <w:pPr>
                            <w:pStyle w:val="Footer"/>
                            <w:jc w:val="right"/>
                          </w:pPr>
                          <w:r>
                            <w:rPr>
                              <w:noProof w:val="0"/>
                            </w:rPr>
                            <w:fldChar w:fldCharType="begin"/>
                          </w:r>
                          <w:r>
                            <w:instrText xml:space="preserve"> PAGE   \* MERGEFORMAT </w:instrText>
                          </w:r>
                          <w:r>
                            <w:rPr>
                              <w:noProof w:val="0"/>
                            </w:rPr>
                            <w:fldChar w:fldCharType="separate"/>
                          </w:r>
                          <w:r w:rsidR="009D291F">
                            <w:t>2</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Title: Page number" style="position:absolute;margin-left:-14.35pt;margin-top:0;width:36.85pt;height:41.1pt;z-index:-25165516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" fillcolor="white [3201]" stroked="f" strokeweight=".5pt">
              <v:textbox inset="0,0,0,0">
                <w:txbxContent>
                  <w:p w14:paraId="61D1D6A9" w14:textId="77777777" w:rsidR="002C3C6D" w:rsidRDefault="002C3C6D" w:rsidP="003C0CC1">
                    <w:pPr>
                      <w:pStyle w:val="Footer"/>
                      <w:jc w:val="right"/>
                    </w:pPr>
                    <w:r>
                      <w:rPr>
                        <w:noProof w:val="0"/>
                      </w:rPr>
                      <w:fldChar w:fldCharType="begin"/>
                    </w:r>
                    <w:r>
                      <w:instrText xml:space="preserve"> PAGE   \* MERGEFORMAT </w:instrText>
                    </w:r>
                    <w:r>
                      <w:rPr>
                        <w:noProof w:val="0"/>
                      </w:rPr>
                      <w:fldChar w:fldCharType="separate"/>
                    </w:r>
                    <w:r w:rsidR="009D291F">
                      <w:t>2</w:t>
                    </w:r>
                    <w:r>
                      <w:fldChar w:fldCharType="end"/>
                    </w:r>
                  </w:p>
                </w:txbxContent>
              </v:textbox>
              <w10:wrap anchorx="margin"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743DFA" w14:textId="77777777" w:rsidR="002C3C6D" w:rsidRPr="00587638" w:rsidRDefault="002C3C6D"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30F334" w14:textId="77777777" w:rsidR="007A6C41" w:rsidRDefault="007A6C41" w:rsidP="00185154">
      <w:r>
        <w:separator/>
      </w:r>
    </w:p>
    <w:p w14:paraId="0BEEE60A" w14:textId="77777777" w:rsidR="007A6C41" w:rsidRDefault="007A6C41"/>
  </w:footnote>
  <w:footnote w:type="continuationSeparator" w:id="0">
    <w:p w14:paraId="63124201" w14:textId="77777777" w:rsidR="007A6C41" w:rsidRDefault="007A6C41" w:rsidP="00185154">
      <w:r>
        <w:continuationSeparator/>
      </w:r>
    </w:p>
    <w:p w14:paraId="4E7B1ED7" w14:textId="77777777" w:rsidR="007A6C41" w:rsidRDefault="007A6C4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B5B9E" w14:textId="319A601B" w:rsidR="002C3C6D" w:rsidRDefault="009D291F" w:rsidP="009D291F">
    <w:pPr>
      <w:pStyle w:val="BodyText"/>
      <w:rPr>
        <w:lang w:eastAsia="en-US"/>
      </w:rPr>
    </w:pPr>
    <w:r>
      <w:rPr>
        <w:lang w:eastAsia="en-US"/>
      </w:rPr>
      <w:t>August 2016</w:t>
    </w:r>
    <w:r w:rsidR="002C3C6D" w:rsidRPr="00D70C5C">
      <w:rPr>
        <w:noProof/>
      </w:rPr>
      <w:drawing>
        <wp:anchor distT="0" distB="0" distL="114300" distR="114300" simplePos="0" relativeHeight="251659264" behindDoc="1" locked="0" layoutInCell="1" allowOverlap="1" wp14:anchorId="7F7D1E61" wp14:editId="7E035B48">
          <wp:simplePos x="715992" y="362309"/>
          <wp:positionH relativeFrom="page">
            <wp:posOffset>5040630</wp:posOffset>
          </wp:positionH>
          <wp:positionV relativeFrom="page">
            <wp:align>center</wp:align>
          </wp:positionV>
          <wp:extent cx="2325600" cy="10260000"/>
          <wp:effectExtent l="0" t="0" r="0" b="8255"/>
          <wp:wrapNone/>
          <wp:docPr id="1" name="Picture 1"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24658E7"/>
    <w:multiLevelType w:val="multilevel"/>
    <w:tmpl w:val="A62A2188"/>
    <w:numStyleLink w:val="ListNumberedHeadings"/>
  </w:abstractNum>
  <w:abstractNum w:abstractNumId="2">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nsid w:val="16B96E9A"/>
    <w:multiLevelType w:val="multilevel"/>
    <w:tmpl w:val="624681D2"/>
    <w:numStyleLink w:val="ListTableBullet"/>
  </w:abstractNum>
  <w:abstractNum w:abstractNumId="5">
    <w:nsid w:val="1D366260"/>
    <w:multiLevelType w:val="multilevel"/>
    <w:tmpl w:val="A62A2188"/>
    <w:numStyleLink w:val="ListNumberedHeadings"/>
  </w:abstractNum>
  <w:abstractNum w:abstractNumId="6">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nsid w:val="2ACD3286"/>
    <w:multiLevelType w:val="multilevel"/>
    <w:tmpl w:val="A62A2188"/>
    <w:numStyleLink w:val="ListNumberedHeadings"/>
  </w:abstractNum>
  <w:abstractNum w:abstractNumId="8">
    <w:nsid w:val="2F9F2780"/>
    <w:multiLevelType w:val="multilevel"/>
    <w:tmpl w:val="BDFC207A"/>
    <w:numStyleLink w:val="ListTableNumber"/>
  </w:abstractNum>
  <w:abstractNum w:abstractNumId="9">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nsid w:val="4B5002C9"/>
    <w:multiLevelType w:val="multilevel"/>
    <w:tmpl w:val="624681D2"/>
    <w:numStyleLink w:val="ListTableBullet"/>
  </w:abstractNum>
  <w:abstractNum w:abstractNumId="12">
    <w:nsid w:val="55C647A8"/>
    <w:multiLevelType w:val="multilevel"/>
    <w:tmpl w:val="A62A2188"/>
    <w:numStyleLink w:val="ListNumberedHeadings"/>
  </w:abstractNum>
  <w:abstractNum w:abstractNumId="13">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18"/>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18"/>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nsid w:val="68DE5D98"/>
    <w:multiLevelType w:val="multilevel"/>
    <w:tmpl w:val="93023612"/>
    <w:numStyleLink w:val="ListBullet"/>
  </w:abstractNum>
  <w:abstractNum w:abstractNumId="15">
    <w:nsid w:val="6AEE084D"/>
    <w:multiLevelType w:val="multilevel"/>
    <w:tmpl w:val="624681D2"/>
    <w:numStyleLink w:val="ListTableBullet"/>
  </w:abstractNum>
  <w:abstractNum w:abstractNumId="16">
    <w:nsid w:val="7139706E"/>
    <w:multiLevelType w:val="multilevel"/>
    <w:tmpl w:val="11C64328"/>
    <w:numStyleLink w:val="ListParagraph"/>
  </w:abstractNum>
  <w:abstractNum w:abstractNumId="17">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7"/>
  </w:num>
  <w:num w:numId="2">
    <w:abstractNumId w:val="10"/>
  </w:num>
  <w:num w:numId="3">
    <w:abstractNumId w:val="0"/>
  </w:num>
  <w:num w:numId="4">
    <w:abstractNumId w:val="3"/>
  </w:num>
  <w:num w:numId="5">
    <w:abstractNumId w:val="13"/>
  </w:num>
  <w:num w:numId="6">
    <w:abstractNumId w:val="16"/>
  </w:num>
  <w:num w:numId="7">
    <w:abstractNumId w:val="7"/>
  </w:num>
  <w:num w:numId="8">
    <w:abstractNumId w:val="8"/>
  </w:num>
  <w:num w:numId="9">
    <w:abstractNumId w:val="4"/>
  </w:num>
  <w:num w:numId="10">
    <w:abstractNumId w:val="2"/>
  </w:num>
  <w:num w:numId="11">
    <w:abstractNumId w:val="9"/>
  </w:num>
  <w:num w:numId="12">
    <w:abstractNumId w:val="6"/>
  </w:num>
  <w:num w:numId="13">
    <w:abstractNumId w:val="14"/>
  </w:num>
  <w:num w:numId="14">
    <w:abstractNumId w:val="14"/>
  </w:num>
  <w:num w:numId="15">
    <w:abstractNumId w:val="14"/>
  </w:num>
  <w:num w:numId="16">
    <w:abstractNumId w:val="14"/>
  </w:num>
  <w:num w:numId="17">
    <w:abstractNumId w:val="14"/>
  </w:num>
  <w:num w:numId="18">
    <w:abstractNumId w:val="14"/>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9"/>
  </w:num>
  <w:num w:numId="27">
    <w:abstractNumId w:val="10"/>
  </w:num>
  <w:num w:numId="28">
    <w:abstractNumId w:val="3"/>
  </w:num>
  <w:num w:numId="29">
    <w:abstractNumId w:val="1"/>
  </w:num>
  <w:num w:numId="30">
    <w:abstractNumId w:val="1"/>
  </w:num>
  <w:num w:numId="31">
    <w:abstractNumId w:val="1"/>
  </w:num>
  <w:num w:numId="32">
    <w:abstractNumId w:val="15"/>
  </w:num>
  <w:num w:numId="33">
    <w:abstractNumId w:val="15"/>
  </w:num>
  <w:num w:numId="34">
    <w:abstractNumId w:val="11"/>
  </w:num>
  <w:num w:numId="35">
    <w:abstractNumId w:val="5"/>
  </w:num>
  <w:num w:numId="36">
    <w:abstractNumId w:val="10"/>
  </w:num>
  <w:num w:numId="37">
    <w:abstractNumId w:val="12"/>
  </w:num>
  <w:num w:numId="38">
    <w:abstractNumId w:val="12"/>
  </w:num>
  <w:num w:numId="39">
    <w:abstractNumId w:val="12"/>
  </w:num>
  <w:numIdMacAtCleanup w:val="1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Morse">
    <w15:presenceInfo w15:providerId="AD" w15:userId="S-1-5-21-2022858674-813790578-2977719295-23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attachedTemplate r:id="rId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D8E"/>
    <w:rsid w:val="00006100"/>
    <w:rsid w:val="0003268F"/>
    <w:rsid w:val="00033876"/>
    <w:rsid w:val="00035283"/>
    <w:rsid w:val="000358CA"/>
    <w:rsid w:val="000427B8"/>
    <w:rsid w:val="000443A1"/>
    <w:rsid w:val="00051C5C"/>
    <w:rsid w:val="00064ADF"/>
    <w:rsid w:val="00071C7D"/>
    <w:rsid w:val="00076F97"/>
    <w:rsid w:val="000870BB"/>
    <w:rsid w:val="00087D93"/>
    <w:rsid w:val="000A35F6"/>
    <w:rsid w:val="000B3EBE"/>
    <w:rsid w:val="000B6FA1"/>
    <w:rsid w:val="000C0C22"/>
    <w:rsid w:val="000C1D1E"/>
    <w:rsid w:val="000C4056"/>
    <w:rsid w:val="000F4A35"/>
    <w:rsid w:val="000F6299"/>
    <w:rsid w:val="00102AD0"/>
    <w:rsid w:val="001063C6"/>
    <w:rsid w:val="00112AF7"/>
    <w:rsid w:val="0013218E"/>
    <w:rsid w:val="00145CCD"/>
    <w:rsid w:val="001505D8"/>
    <w:rsid w:val="00154790"/>
    <w:rsid w:val="00156423"/>
    <w:rsid w:val="001600E5"/>
    <w:rsid w:val="001703B8"/>
    <w:rsid w:val="001829A7"/>
    <w:rsid w:val="00185154"/>
    <w:rsid w:val="0019114D"/>
    <w:rsid w:val="001B7BEE"/>
    <w:rsid w:val="001C1008"/>
    <w:rsid w:val="001E1FAB"/>
    <w:rsid w:val="001E50AE"/>
    <w:rsid w:val="001F16CA"/>
    <w:rsid w:val="0020556D"/>
    <w:rsid w:val="002078C1"/>
    <w:rsid w:val="002106C4"/>
    <w:rsid w:val="00210DEF"/>
    <w:rsid w:val="00222215"/>
    <w:rsid w:val="00250FF8"/>
    <w:rsid w:val="0025119D"/>
    <w:rsid w:val="00252201"/>
    <w:rsid w:val="00253761"/>
    <w:rsid w:val="00254DD8"/>
    <w:rsid w:val="00286F13"/>
    <w:rsid w:val="002A590E"/>
    <w:rsid w:val="002A704A"/>
    <w:rsid w:val="002B4003"/>
    <w:rsid w:val="002B7FD1"/>
    <w:rsid w:val="002C3C6D"/>
    <w:rsid w:val="002C5B1C"/>
    <w:rsid w:val="002D4254"/>
    <w:rsid w:val="002D4E6E"/>
    <w:rsid w:val="002F2F7A"/>
    <w:rsid w:val="002F4862"/>
    <w:rsid w:val="00301893"/>
    <w:rsid w:val="0033522F"/>
    <w:rsid w:val="003373F9"/>
    <w:rsid w:val="003411DD"/>
    <w:rsid w:val="00342A1D"/>
    <w:rsid w:val="0034683C"/>
    <w:rsid w:val="00351621"/>
    <w:rsid w:val="0035508C"/>
    <w:rsid w:val="0037398C"/>
    <w:rsid w:val="0037618F"/>
    <w:rsid w:val="003853C1"/>
    <w:rsid w:val="00386322"/>
    <w:rsid w:val="003A04C1"/>
    <w:rsid w:val="003A08A5"/>
    <w:rsid w:val="003A286F"/>
    <w:rsid w:val="003B0945"/>
    <w:rsid w:val="003B097F"/>
    <w:rsid w:val="003B4DCF"/>
    <w:rsid w:val="003B6EE7"/>
    <w:rsid w:val="003C0CC1"/>
    <w:rsid w:val="003D3B71"/>
    <w:rsid w:val="003D56AF"/>
    <w:rsid w:val="003D5766"/>
    <w:rsid w:val="003E1EF3"/>
    <w:rsid w:val="003E5319"/>
    <w:rsid w:val="0040171A"/>
    <w:rsid w:val="00404615"/>
    <w:rsid w:val="0040706E"/>
    <w:rsid w:val="00407776"/>
    <w:rsid w:val="004254BC"/>
    <w:rsid w:val="00427353"/>
    <w:rsid w:val="0043564D"/>
    <w:rsid w:val="0043628A"/>
    <w:rsid w:val="00444AE6"/>
    <w:rsid w:val="004478FD"/>
    <w:rsid w:val="004700B3"/>
    <w:rsid w:val="00475B4D"/>
    <w:rsid w:val="0048336B"/>
    <w:rsid w:val="00491C59"/>
    <w:rsid w:val="00494B2B"/>
    <w:rsid w:val="004B7C90"/>
    <w:rsid w:val="004B7DAE"/>
    <w:rsid w:val="004D7FDD"/>
    <w:rsid w:val="004E79A4"/>
    <w:rsid w:val="004F16CC"/>
    <w:rsid w:val="004F2A3C"/>
    <w:rsid w:val="004F3D6F"/>
    <w:rsid w:val="004F7756"/>
    <w:rsid w:val="0051056D"/>
    <w:rsid w:val="00516FF9"/>
    <w:rsid w:val="00517BEF"/>
    <w:rsid w:val="005211CD"/>
    <w:rsid w:val="005307F9"/>
    <w:rsid w:val="005331C9"/>
    <w:rsid w:val="00541745"/>
    <w:rsid w:val="0055219D"/>
    <w:rsid w:val="0055353F"/>
    <w:rsid w:val="00554CF4"/>
    <w:rsid w:val="0056576C"/>
    <w:rsid w:val="0056633F"/>
    <w:rsid w:val="0057137E"/>
    <w:rsid w:val="005713E5"/>
    <w:rsid w:val="005A3DFC"/>
    <w:rsid w:val="005A435A"/>
    <w:rsid w:val="005B0C40"/>
    <w:rsid w:val="005D620B"/>
    <w:rsid w:val="005E259B"/>
    <w:rsid w:val="005F4ADA"/>
    <w:rsid w:val="006025ED"/>
    <w:rsid w:val="0061089F"/>
    <w:rsid w:val="006134C7"/>
    <w:rsid w:val="00633235"/>
    <w:rsid w:val="00652C26"/>
    <w:rsid w:val="0065325A"/>
    <w:rsid w:val="00674316"/>
    <w:rsid w:val="00684E74"/>
    <w:rsid w:val="00694665"/>
    <w:rsid w:val="006A1801"/>
    <w:rsid w:val="006D22C5"/>
    <w:rsid w:val="006E424B"/>
    <w:rsid w:val="00706376"/>
    <w:rsid w:val="00757A95"/>
    <w:rsid w:val="00770BF1"/>
    <w:rsid w:val="00774E81"/>
    <w:rsid w:val="0078635B"/>
    <w:rsid w:val="007A3BEC"/>
    <w:rsid w:val="007A5346"/>
    <w:rsid w:val="007A6C41"/>
    <w:rsid w:val="007E0CFC"/>
    <w:rsid w:val="007E0D8E"/>
    <w:rsid w:val="00817D6F"/>
    <w:rsid w:val="00822503"/>
    <w:rsid w:val="008315C7"/>
    <w:rsid w:val="008424C1"/>
    <w:rsid w:val="00845732"/>
    <w:rsid w:val="008572D9"/>
    <w:rsid w:val="00861E13"/>
    <w:rsid w:val="00872827"/>
    <w:rsid w:val="00877099"/>
    <w:rsid w:val="00892496"/>
    <w:rsid w:val="00895FF2"/>
    <w:rsid w:val="008A6F22"/>
    <w:rsid w:val="008B5D8F"/>
    <w:rsid w:val="008E7DE2"/>
    <w:rsid w:val="008F4E0B"/>
    <w:rsid w:val="00903ABE"/>
    <w:rsid w:val="00905A13"/>
    <w:rsid w:val="00907866"/>
    <w:rsid w:val="00944D95"/>
    <w:rsid w:val="009453E1"/>
    <w:rsid w:val="009571D7"/>
    <w:rsid w:val="00980D15"/>
    <w:rsid w:val="00990EFD"/>
    <w:rsid w:val="009A199C"/>
    <w:rsid w:val="009A1E0A"/>
    <w:rsid w:val="009C505E"/>
    <w:rsid w:val="009D291F"/>
    <w:rsid w:val="009E3BCF"/>
    <w:rsid w:val="009F6CE7"/>
    <w:rsid w:val="00A07960"/>
    <w:rsid w:val="00A26C64"/>
    <w:rsid w:val="00A27FF0"/>
    <w:rsid w:val="00A313EF"/>
    <w:rsid w:val="00A41250"/>
    <w:rsid w:val="00A414F0"/>
    <w:rsid w:val="00A41D4E"/>
    <w:rsid w:val="00A52A8F"/>
    <w:rsid w:val="00A623F9"/>
    <w:rsid w:val="00A63844"/>
    <w:rsid w:val="00A640FF"/>
    <w:rsid w:val="00A71CB9"/>
    <w:rsid w:val="00A83B38"/>
    <w:rsid w:val="00A83E83"/>
    <w:rsid w:val="00A939E6"/>
    <w:rsid w:val="00A94D42"/>
    <w:rsid w:val="00AA6010"/>
    <w:rsid w:val="00AD042B"/>
    <w:rsid w:val="00AD0D19"/>
    <w:rsid w:val="00AD6EC2"/>
    <w:rsid w:val="00AE4C26"/>
    <w:rsid w:val="00AF2204"/>
    <w:rsid w:val="00B012F3"/>
    <w:rsid w:val="00B1273F"/>
    <w:rsid w:val="00B53493"/>
    <w:rsid w:val="00B55D18"/>
    <w:rsid w:val="00B56CC8"/>
    <w:rsid w:val="00B65281"/>
    <w:rsid w:val="00B668FB"/>
    <w:rsid w:val="00B76B8E"/>
    <w:rsid w:val="00B8027C"/>
    <w:rsid w:val="00B8347A"/>
    <w:rsid w:val="00BA45AE"/>
    <w:rsid w:val="00BA4F4A"/>
    <w:rsid w:val="00BA66AD"/>
    <w:rsid w:val="00BB49AA"/>
    <w:rsid w:val="00BC2DD3"/>
    <w:rsid w:val="00BC67B1"/>
    <w:rsid w:val="00BD7CF3"/>
    <w:rsid w:val="00BE16D4"/>
    <w:rsid w:val="00BF2C53"/>
    <w:rsid w:val="00BF62C5"/>
    <w:rsid w:val="00C000C3"/>
    <w:rsid w:val="00C02E60"/>
    <w:rsid w:val="00C0443D"/>
    <w:rsid w:val="00C10095"/>
    <w:rsid w:val="00C240FD"/>
    <w:rsid w:val="00C24374"/>
    <w:rsid w:val="00C302EF"/>
    <w:rsid w:val="00C74178"/>
    <w:rsid w:val="00C74C53"/>
    <w:rsid w:val="00C770D1"/>
    <w:rsid w:val="00C97431"/>
    <w:rsid w:val="00CB6B0E"/>
    <w:rsid w:val="00CD06D1"/>
    <w:rsid w:val="00CE5F12"/>
    <w:rsid w:val="00CE665D"/>
    <w:rsid w:val="00D241D3"/>
    <w:rsid w:val="00D24EC3"/>
    <w:rsid w:val="00D253E1"/>
    <w:rsid w:val="00D27FA8"/>
    <w:rsid w:val="00D365D3"/>
    <w:rsid w:val="00D405B6"/>
    <w:rsid w:val="00D42F7B"/>
    <w:rsid w:val="00D55089"/>
    <w:rsid w:val="00D65684"/>
    <w:rsid w:val="00D71201"/>
    <w:rsid w:val="00DA76FA"/>
    <w:rsid w:val="00DB2B49"/>
    <w:rsid w:val="00DC28FE"/>
    <w:rsid w:val="00DC290C"/>
    <w:rsid w:val="00DC33B4"/>
    <w:rsid w:val="00DD4656"/>
    <w:rsid w:val="00DF01DF"/>
    <w:rsid w:val="00E018FB"/>
    <w:rsid w:val="00E135C8"/>
    <w:rsid w:val="00E21DC0"/>
    <w:rsid w:val="00E319FA"/>
    <w:rsid w:val="00E4248F"/>
    <w:rsid w:val="00E5462E"/>
    <w:rsid w:val="00E550E7"/>
    <w:rsid w:val="00E6763B"/>
    <w:rsid w:val="00E67B73"/>
    <w:rsid w:val="00E801F2"/>
    <w:rsid w:val="00EA5F73"/>
    <w:rsid w:val="00EB1765"/>
    <w:rsid w:val="00EB39E1"/>
    <w:rsid w:val="00EB4F7C"/>
    <w:rsid w:val="00EB58BD"/>
    <w:rsid w:val="00EB6D30"/>
    <w:rsid w:val="00EC0FFC"/>
    <w:rsid w:val="00EC3CE8"/>
    <w:rsid w:val="00EC6DF9"/>
    <w:rsid w:val="00ED2E33"/>
    <w:rsid w:val="00ED3024"/>
    <w:rsid w:val="00ED71B6"/>
    <w:rsid w:val="00EE5474"/>
    <w:rsid w:val="00EF0E10"/>
    <w:rsid w:val="00EF2076"/>
    <w:rsid w:val="00EF2AFB"/>
    <w:rsid w:val="00F0214E"/>
    <w:rsid w:val="00F165C6"/>
    <w:rsid w:val="00F33D5C"/>
    <w:rsid w:val="00F431FB"/>
    <w:rsid w:val="00F53ACB"/>
    <w:rsid w:val="00F60E46"/>
    <w:rsid w:val="00F6184E"/>
    <w:rsid w:val="00F8007E"/>
    <w:rsid w:val="00F81C8A"/>
    <w:rsid w:val="00F84805"/>
    <w:rsid w:val="00F84B1D"/>
    <w:rsid w:val="00F85E41"/>
    <w:rsid w:val="00FA2B02"/>
    <w:rsid w:val="00FB1115"/>
    <w:rsid w:val="00FB4AE4"/>
    <w:rsid w:val="00FD6B29"/>
    <w:rsid w:val="00FE638E"/>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70333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CommentReference">
    <w:name w:val="annotation reference"/>
    <w:basedOn w:val="DefaultParagraphFont"/>
    <w:uiPriority w:val="99"/>
    <w:semiHidden/>
    <w:unhideWhenUsed/>
    <w:rsid w:val="007E0D8E"/>
    <w:rPr>
      <w:sz w:val="16"/>
      <w:szCs w:val="16"/>
    </w:rPr>
  </w:style>
  <w:style w:type="paragraph" w:styleId="CommentText">
    <w:name w:val="annotation text"/>
    <w:basedOn w:val="Normal"/>
    <w:link w:val="CommentTextChar"/>
    <w:uiPriority w:val="99"/>
    <w:semiHidden/>
    <w:unhideWhenUsed/>
    <w:rsid w:val="007E0D8E"/>
    <w:rPr>
      <w:sz w:val="20"/>
      <w:szCs w:val="20"/>
    </w:rPr>
  </w:style>
  <w:style w:type="character" w:customStyle="1" w:styleId="CommentTextChar">
    <w:name w:val="Comment Text Char"/>
    <w:basedOn w:val="DefaultParagraphFont"/>
    <w:link w:val="CommentText"/>
    <w:uiPriority w:val="99"/>
    <w:semiHidden/>
    <w:rsid w:val="007E0D8E"/>
    <w:rPr>
      <w:sz w:val="20"/>
      <w:szCs w:val="20"/>
    </w:rPr>
  </w:style>
  <w:style w:type="paragraph" w:styleId="CommentSubject">
    <w:name w:val="annotation subject"/>
    <w:basedOn w:val="CommentText"/>
    <w:next w:val="CommentText"/>
    <w:link w:val="CommentSubjectChar"/>
    <w:uiPriority w:val="99"/>
    <w:semiHidden/>
    <w:unhideWhenUsed/>
    <w:rsid w:val="007E0D8E"/>
    <w:rPr>
      <w:b/>
      <w:bCs/>
    </w:rPr>
  </w:style>
  <w:style w:type="character" w:customStyle="1" w:styleId="CommentSubjectChar">
    <w:name w:val="Comment Subject Char"/>
    <w:basedOn w:val="CommentTextChar"/>
    <w:link w:val="CommentSubject"/>
    <w:uiPriority w:val="99"/>
    <w:semiHidden/>
    <w:rsid w:val="007E0D8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10" w:unhideWhenUsed="0"/>
    <w:lsdException w:name="Default Paragraph Font" w:uiPriority="1"/>
    <w:lsdException w:name="Body Text" w:uiPriority="0" w:qFormat="1"/>
    <w:lsdException w:name="Subtitle" w:semiHidden="0" w:uiPriority="11"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EA5F73"/>
    <w:pPr>
      <w:spacing w:before="0" w:after="0"/>
    </w:pPr>
  </w:style>
  <w:style w:type="paragraph" w:styleId="Heading1">
    <w:name w:val="heading 1"/>
    <w:basedOn w:val="Normal"/>
    <w:next w:val="BodyText"/>
    <w:link w:val="Heading1Char"/>
    <w:qFormat/>
    <w:rsid w:val="00102AD0"/>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56576C"/>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A5F73"/>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102AD0"/>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56576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A5F73"/>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D405B6"/>
    <w:rPr>
      <w:rFonts w:asciiTheme="majorHAnsi" w:eastAsia="Times New Roman" w:hAnsiTheme="majorHAnsi" w:cs="Times New Roman"/>
      <w:bCs/>
      <w:i/>
      <w:color w:val="004B8D" w:themeColor="accent1"/>
      <w:sz w:val="19"/>
      <w:lang w:eastAsia="en-AU"/>
    </w:rPr>
  </w:style>
  <w:style w:type="paragraph" w:customStyle="1" w:styleId="NbrHeading1">
    <w:name w:val="Nbr Heading 1"/>
    <w:basedOn w:val="Heading1"/>
    <w:qFormat/>
    <w:rsid w:val="007E0CFC"/>
    <w:pPr>
      <w:numPr>
        <w:numId w:val="39"/>
      </w:numPr>
      <w:tabs>
        <w:tab w:val="right" w:leader="dot" w:pos="8789"/>
      </w:tabs>
    </w:pPr>
  </w:style>
  <w:style w:type="paragraph" w:customStyle="1" w:styleId="NbrHeading2">
    <w:name w:val="Nbr Heading 2"/>
    <w:basedOn w:val="Heading2"/>
    <w:qFormat/>
    <w:rsid w:val="007E0CFC"/>
    <w:pPr>
      <w:numPr>
        <w:ilvl w:val="1"/>
        <w:numId w:val="39"/>
      </w:numPr>
    </w:pPr>
  </w:style>
  <w:style w:type="paragraph" w:customStyle="1" w:styleId="NbrHeading3">
    <w:name w:val="Nbr Heading 3"/>
    <w:basedOn w:val="Heading3"/>
    <w:qFormat/>
    <w:rsid w:val="007E0CFC"/>
    <w:pPr>
      <w:numPr>
        <w:ilvl w:val="2"/>
        <w:numId w:val="39"/>
      </w:numPr>
    </w:pPr>
  </w:style>
  <w:style w:type="paragraph" w:styleId="Title">
    <w:name w:val="Title"/>
    <w:basedOn w:val="Normal"/>
    <w:next w:val="BodyText"/>
    <w:link w:val="TitleChar"/>
    <w:uiPriority w:val="9"/>
    <w:rsid w:val="00877099"/>
    <w:pPr>
      <w:spacing w:before="320" w:after="920"/>
    </w:pPr>
    <w:rPr>
      <w:rFonts w:asciiTheme="majorHAnsi" w:eastAsiaTheme="majorEastAsia" w:hAnsiTheme="majorHAnsi" w:cstheme="majorBidi"/>
      <w:color w:val="004B8D" w:themeColor="accent1"/>
      <w:sz w:val="40"/>
      <w:szCs w:val="52"/>
    </w:rPr>
  </w:style>
  <w:style w:type="character" w:customStyle="1" w:styleId="TitleChar">
    <w:name w:val="Title Char"/>
    <w:basedOn w:val="DefaultParagraphFont"/>
    <w:link w:val="Title"/>
    <w:uiPriority w:val="9"/>
    <w:rsid w:val="00877099"/>
    <w:rPr>
      <w:rFonts w:asciiTheme="majorHAnsi" w:eastAsiaTheme="majorEastAsia" w:hAnsiTheme="majorHAnsi" w:cstheme="majorBidi"/>
      <w:color w:val="004B8D" w:themeColor="accent1"/>
      <w:sz w:val="4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3A286F"/>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3A286F"/>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3A286F"/>
    <w:rPr>
      <w:noProof/>
      <w:sz w:val="18"/>
    </w:rPr>
  </w:style>
  <w:style w:type="paragraph" w:styleId="ListNumber0">
    <w:name w:val="List Number"/>
    <w:basedOn w:val="Normal"/>
    <w:uiPriority w:val="1"/>
    <w:qFormat/>
    <w:rsid w:val="00877099"/>
    <w:pPr>
      <w:numPr>
        <w:numId w:val="12"/>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56576C"/>
    <w:pPr>
      <w:numPr>
        <w:numId w:val="26"/>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semiHidden/>
    <w:rsid w:val="0061089F"/>
  </w:style>
  <w:style w:type="character" w:styleId="Hyperlink">
    <w:name w:val="Hyperlink"/>
    <w:basedOn w:val="DefaultParagraphFont"/>
    <w:uiPriority w:val="99"/>
    <w:rsid w:val="00D405B6"/>
    <w:rPr>
      <w:b/>
      <w:color w:val="004B8D" w:themeColor="accent1"/>
      <w:u w:val="non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102AD0"/>
    <w:pPr>
      <w:spacing w:before="60" w:after="60"/>
    </w:pPr>
    <w:rPr>
      <w:sz w:val="20"/>
    </w:rPr>
  </w:style>
  <w:style w:type="paragraph" w:customStyle="1" w:styleId="TableBullet">
    <w:name w:val="Table Bullet"/>
    <w:basedOn w:val="Normal"/>
    <w:uiPriority w:val="4"/>
    <w:qFormat/>
    <w:rsid w:val="0056576C"/>
    <w:pPr>
      <w:numPr>
        <w:numId w:val="3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8"/>
      </w:numPr>
    </w:pPr>
  </w:style>
  <w:style w:type="character" w:customStyle="1" w:styleId="Heading5Char">
    <w:name w:val="Heading 5 Char"/>
    <w:basedOn w:val="DefaultParagraphFont"/>
    <w:link w:val="Heading5"/>
    <w:semiHidden/>
    <w:rsid w:val="00D405B6"/>
    <w:rPr>
      <w:rFonts w:asciiTheme="majorHAnsi" w:eastAsia="Times New Roman" w:hAnsiTheme="majorHAnsi" w:cs="Times New Roman"/>
      <w:bCs/>
      <w:iCs/>
      <w:color w:val="004B8D" w:themeColor="accent1"/>
      <w:sz w:val="19"/>
      <w:szCs w:val="26"/>
      <w:u w:val="single"/>
      <w:lang w:eastAsia="en-AU"/>
    </w:rPr>
  </w:style>
  <w:style w:type="character" w:customStyle="1" w:styleId="Heading6Char">
    <w:name w:val="Heading 6 Char"/>
    <w:basedOn w:val="DefaultParagraphFont"/>
    <w:link w:val="Heading6"/>
    <w:uiPriority w:val="99"/>
    <w:semiHidden/>
    <w:rsid w:val="003A286F"/>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3A286F"/>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3A286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877099"/>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877099"/>
    <w:pPr>
      <w:numPr>
        <w:numId w:val="10"/>
      </w:numPr>
    </w:pPr>
  </w:style>
  <w:style w:type="numbering" w:customStyle="1" w:styleId="ListAlpha">
    <w:name w:val="List_Alpha"/>
    <w:uiPriority w:val="99"/>
    <w:rsid w:val="00877099"/>
    <w:pPr>
      <w:numPr>
        <w:numId w:val="10"/>
      </w:numPr>
    </w:pPr>
  </w:style>
  <w:style w:type="paragraph" w:styleId="TableofAuthorities">
    <w:name w:val="table of authorities"/>
    <w:basedOn w:val="Normal"/>
    <w:next w:val="Normal"/>
    <w:uiPriority w:val="99"/>
    <w:semiHidden/>
    <w:unhideWhenUsed/>
    <w:rsid w:val="00E018FB"/>
    <w:pPr>
      <w:ind w:left="200" w:hanging="200"/>
    </w:pPr>
  </w:style>
  <w:style w:type="paragraph" w:styleId="TableofFigures">
    <w:name w:val="table of figures"/>
    <w:basedOn w:val="TOC3"/>
    <w:next w:val="Normal"/>
    <w:uiPriority w:val="99"/>
    <w:semiHidden/>
    <w:rsid w:val="00F6184E"/>
    <w:rPr>
      <w:noProof/>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877099"/>
    <w:pPr>
      <w:numPr>
        <w:ilvl w:val="1"/>
      </w:numPr>
    </w:pPr>
  </w:style>
  <w:style w:type="paragraph" w:customStyle="1" w:styleId="ListAlpha3">
    <w:name w:val="List Alpha 3"/>
    <w:basedOn w:val="ListAlpha2"/>
    <w:uiPriority w:val="19"/>
    <w:semiHidden/>
    <w:rsid w:val="00877099"/>
    <w:pPr>
      <w:numPr>
        <w:ilvl w:val="2"/>
      </w:numPr>
    </w:pPr>
  </w:style>
  <w:style w:type="paragraph" w:customStyle="1" w:styleId="ListAlpha4">
    <w:name w:val="List Alpha 4"/>
    <w:basedOn w:val="ListAlpha3"/>
    <w:uiPriority w:val="19"/>
    <w:semiHidden/>
    <w:rsid w:val="00877099"/>
    <w:pPr>
      <w:numPr>
        <w:ilvl w:val="3"/>
      </w:numPr>
    </w:pPr>
  </w:style>
  <w:style w:type="paragraph" w:customStyle="1" w:styleId="ListAlpha6">
    <w:name w:val="List Alpha 6"/>
    <w:basedOn w:val="ListAlpha4"/>
    <w:uiPriority w:val="19"/>
    <w:semiHidden/>
    <w:rsid w:val="00877099"/>
    <w:pPr>
      <w:numPr>
        <w:ilvl w:val="5"/>
      </w:numPr>
    </w:pPr>
  </w:style>
  <w:style w:type="paragraph" w:customStyle="1" w:styleId="ListAlpha5">
    <w:name w:val="List Alpha 5"/>
    <w:basedOn w:val="ListAlpha6"/>
    <w:uiPriority w:val="19"/>
    <w:semiHidden/>
    <w:rsid w:val="00877099"/>
    <w:pPr>
      <w:numPr>
        <w:ilvl w:val="4"/>
      </w:numPr>
    </w:pPr>
  </w:style>
  <w:style w:type="paragraph" w:styleId="ListBullet2">
    <w:name w:val="List Bullet 2"/>
    <w:basedOn w:val="ListBullet0"/>
    <w:uiPriority w:val="19"/>
    <w:rsid w:val="0056576C"/>
    <w:pPr>
      <w:numPr>
        <w:ilvl w:val="1"/>
      </w:numPr>
    </w:pPr>
  </w:style>
  <w:style w:type="paragraph" w:styleId="ListBullet3">
    <w:name w:val="List Bullet 3"/>
    <w:basedOn w:val="ListBullet0"/>
    <w:uiPriority w:val="19"/>
    <w:semiHidden/>
    <w:rsid w:val="0056576C"/>
    <w:pPr>
      <w:numPr>
        <w:ilvl w:val="2"/>
      </w:numPr>
    </w:pPr>
  </w:style>
  <w:style w:type="paragraph" w:styleId="ListBullet4">
    <w:name w:val="List Bullet 4"/>
    <w:basedOn w:val="ListBullet0"/>
    <w:uiPriority w:val="19"/>
    <w:semiHidden/>
    <w:rsid w:val="0056576C"/>
    <w:pPr>
      <w:numPr>
        <w:ilvl w:val="3"/>
      </w:numPr>
    </w:pPr>
  </w:style>
  <w:style w:type="paragraph" w:styleId="ListBullet5">
    <w:name w:val="List Bullet 5"/>
    <w:basedOn w:val="ListBullet0"/>
    <w:uiPriority w:val="19"/>
    <w:semiHidden/>
    <w:rsid w:val="0056576C"/>
    <w:pPr>
      <w:numPr>
        <w:ilvl w:val="4"/>
      </w:numPr>
    </w:pPr>
  </w:style>
  <w:style w:type="paragraph" w:customStyle="1" w:styleId="ListBullet6">
    <w:name w:val="List Bullet 6"/>
    <w:basedOn w:val="ListBullet0"/>
    <w:uiPriority w:val="19"/>
    <w:semiHidden/>
    <w:rsid w:val="0056576C"/>
    <w:pPr>
      <w:numPr>
        <w:ilvl w:val="5"/>
      </w:numPr>
    </w:pPr>
  </w:style>
  <w:style w:type="paragraph" w:styleId="ListNumber2">
    <w:name w:val="List Number 2"/>
    <w:basedOn w:val="ListNumber0"/>
    <w:uiPriority w:val="19"/>
    <w:rsid w:val="00877099"/>
    <w:pPr>
      <w:numPr>
        <w:ilvl w:val="1"/>
      </w:numPr>
    </w:pPr>
  </w:style>
  <w:style w:type="paragraph" w:styleId="ListNumber3">
    <w:name w:val="List Number 3"/>
    <w:basedOn w:val="ListNumber0"/>
    <w:uiPriority w:val="19"/>
    <w:semiHidden/>
    <w:rsid w:val="00877099"/>
    <w:pPr>
      <w:numPr>
        <w:ilvl w:val="2"/>
      </w:numPr>
    </w:pPr>
  </w:style>
  <w:style w:type="paragraph" w:styleId="ListNumber4">
    <w:name w:val="List Number 4"/>
    <w:basedOn w:val="ListNumber0"/>
    <w:uiPriority w:val="19"/>
    <w:semiHidden/>
    <w:rsid w:val="00877099"/>
    <w:pPr>
      <w:numPr>
        <w:ilvl w:val="3"/>
      </w:numPr>
    </w:pPr>
  </w:style>
  <w:style w:type="paragraph" w:styleId="ListNumber5">
    <w:name w:val="List Number 5"/>
    <w:basedOn w:val="ListNumber0"/>
    <w:uiPriority w:val="19"/>
    <w:semiHidden/>
    <w:rsid w:val="00877099"/>
    <w:pPr>
      <w:numPr>
        <w:ilvl w:val="4"/>
      </w:numPr>
    </w:pPr>
  </w:style>
  <w:style w:type="paragraph" w:customStyle="1" w:styleId="ListNumber6">
    <w:name w:val="List Number 6"/>
    <w:basedOn w:val="ListNumber0"/>
    <w:uiPriority w:val="19"/>
    <w:semiHidden/>
    <w:rsid w:val="0087709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56576C"/>
    <w:pPr>
      <w:numPr>
        <w:numId w:val="11"/>
      </w:numPr>
    </w:pPr>
  </w:style>
  <w:style w:type="numbering" w:customStyle="1" w:styleId="ListNumberedHeadings">
    <w:name w:val="List_NumberedHeadings"/>
    <w:uiPriority w:val="99"/>
    <w:rsid w:val="007E0CFC"/>
    <w:pPr>
      <w:numPr>
        <w:numId w:val="2"/>
      </w:numPr>
    </w:pPr>
  </w:style>
  <w:style w:type="numbering" w:customStyle="1" w:styleId="ListTableBullet">
    <w:name w:val="List_TableBullet"/>
    <w:uiPriority w:val="99"/>
    <w:rsid w:val="0056576C"/>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56576C"/>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102AD0"/>
    <w:rPr>
      <w:b w:val="0"/>
      <w:i/>
      <w:sz w:val="20"/>
    </w:rPr>
  </w:style>
  <w:style w:type="table" w:customStyle="1" w:styleId="V2020Table">
    <w:name w:val="V2020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980D15"/>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980D15"/>
    <w:pPr>
      <w:ind w:left="567"/>
    </w:pPr>
  </w:style>
  <w:style w:type="paragraph" w:customStyle="1" w:styleId="TableTotal">
    <w:name w:val="Table Total"/>
    <w:basedOn w:val="TableBody"/>
    <w:uiPriority w:val="4"/>
    <w:qFormat/>
    <w:rsid w:val="00102AD0"/>
    <w:rPr>
      <w:b/>
    </w:rPr>
  </w:style>
  <w:style w:type="character" w:customStyle="1" w:styleId="DocTitle">
    <w:name w:val="DocTitle"/>
    <w:basedOn w:val="DefaultParagraphFont"/>
    <w:uiPriority w:val="10"/>
    <w:rsid w:val="00EA5F73"/>
  </w:style>
  <w:style w:type="table" w:customStyle="1" w:styleId="V2020Summary">
    <w:name w:val="V2020 Summary"/>
    <w:basedOn w:val="TableNormal"/>
    <w:uiPriority w:val="99"/>
    <w:rsid w:val="0020556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541745"/>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541745"/>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CommentReference">
    <w:name w:val="annotation reference"/>
    <w:basedOn w:val="DefaultParagraphFont"/>
    <w:uiPriority w:val="99"/>
    <w:semiHidden/>
    <w:unhideWhenUsed/>
    <w:rsid w:val="007E0D8E"/>
    <w:rPr>
      <w:sz w:val="16"/>
      <w:szCs w:val="16"/>
    </w:rPr>
  </w:style>
  <w:style w:type="paragraph" w:styleId="CommentText">
    <w:name w:val="annotation text"/>
    <w:basedOn w:val="Normal"/>
    <w:link w:val="CommentTextChar"/>
    <w:uiPriority w:val="99"/>
    <w:semiHidden/>
    <w:unhideWhenUsed/>
    <w:rsid w:val="007E0D8E"/>
    <w:rPr>
      <w:sz w:val="20"/>
      <w:szCs w:val="20"/>
    </w:rPr>
  </w:style>
  <w:style w:type="character" w:customStyle="1" w:styleId="CommentTextChar">
    <w:name w:val="Comment Text Char"/>
    <w:basedOn w:val="DefaultParagraphFont"/>
    <w:link w:val="CommentText"/>
    <w:uiPriority w:val="99"/>
    <w:semiHidden/>
    <w:rsid w:val="007E0D8E"/>
    <w:rPr>
      <w:sz w:val="20"/>
      <w:szCs w:val="20"/>
    </w:rPr>
  </w:style>
  <w:style w:type="paragraph" w:styleId="CommentSubject">
    <w:name w:val="annotation subject"/>
    <w:basedOn w:val="CommentText"/>
    <w:next w:val="CommentText"/>
    <w:link w:val="CommentSubjectChar"/>
    <w:uiPriority w:val="99"/>
    <w:semiHidden/>
    <w:unhideWhenUsed/>
    <w:rsid w:val="007E0D8E"/>
    <w:rPr>
      <w:b/>
      <w:bCs/>
    </w:rPr>
  </w:style>
  <w:style w:type="character" w:customStyle="1" w:styleId="CommentSubjectChar">
    <w:name w:val="Comment Subject Char"/>
    <w:basedOn w:val="CommentTextChar"/>
    <w:link w:val="CommentSubject"/>
    <w:uiPriority w:val="99"/>
    <w:semiHidden/>
    <w:rsid w:val="007E0D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486908">
      <w:bodyDiv w:val="1"/>
      <w:marLeft w:val="0"/>
      <w:marRight w:val="0"/>
      <w:marTop w:val="0"/>
      <w:marBottom w:val="0"/>
      <w:divBdr>
        <w:top w:val="none" w:sz="0" w:space="0" w:color="auto"/>
        <w:left w:val="none" w:sz="0" w:space="0" w:color="auto"/>
        <w:bottom w:val="none" w:sz="0" w:space="0" w:color="auto"/>
        <w:right w:val="none" w:sz="0" w:space="0" w:color="auto"/>
      </w:divBdr>
    </w:div>
    <w:div w:id="801701955">
      <w:bodyDiv w:val="1"/>
      <w:marLeft w:val="0"/>
      <w:marRight w:val="0"/>
      <w:marTop w:val="0"/>
      <w:marBottom w:val="0"/>
      <w:divBdr>
        <w:top w:val="none" w:sz="0" w:space="0" w:color="auto"/>
        <w:left w:val="none" w:sz="0" w:space="0" w:color="auto"/>
        <w:bottom w:val="none" w:sz="0" w:space="0" w:color="auto"/>
        <w:right w:val="none" w:sz="0" w:space="0" w:color="auto"/>
      </w:divBdr>
    </w:div>
    <w:div w:id="1100487587">
      <w:bodyDiv w:val="1"/>
      <w:marLeft w:val="0"/>
      <w:marRight w:val="0"/>
      <w:marTop w:val="0"/>
      <w:marBottom w:val="0"/>
      <w:divBdr>
        <w:top w:val="none" w:sz="0" w:space="0" w:color="auto"/>
        <w:left w:val="none" w:sz="0" w:space="0" w:color="auto"/>
        <w:bottom w:val="none" w:sz="0" w:space="0" w:color="auto"/>
        <w:right w:val="none" w:sz="0" w:space="0" w:color="auto"/>
      </w:divBdr>
    </w:div>
    <w:div w:id="1695185678">
      <w:bodyDiv w:val="1"/>
      <w:marLeft w:val="0"/>
      <w:marRight w:val="0"/>
      <w:marTop w:val="0"/>
      <w:marBottom w:val="0"/>
      <w:divBdr>
        <w:top w:val="none" w:sz="0" w:space="0" w:color="auto"/>
        <w:left w:val="none" w:sz="0" w:space="0" w:color="auto"/>
        <w:bottom w:val="none" w:sz="0" w:space="0" w:color="auto"/>
        <w:right w:val="none" w:sz="0" w:space="0" w:color="auto"/>
      </w:divBdr>
    </w:div>
    <w:div w:id="191084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avies\AppData\Roaming\Microsoft\Templates\Info%20Sheet%20Template.dotx"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F9FA8-0DA9-4486-A2D7-6BA541702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Template</Template>
  <TotalTime>1</TotalTime>
  <Pages>2</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Davies</dc:creator>
  <cp:lastModifiedBy>Sarah Davies</cp:lastModifiedBy>
  <cp:revision>5</cp:revision>
  <cp:lastPrinted>2016-08-25T22:39:00Z</cp:lastPrinted>
  <dcterms:created xsi:type="dcterms:W3CDTF">2016-08-25T22:39:00Z</dcterms:created>
  <dcterms:modified xsi:type="dcterms:W3CDTF">2016-08-30T02:13:00Z</dcterms:modified>
</cp:coreProperties>
</file>