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Toc511217260" w:displacedByCustomXml="next"/>
    <w:sdt>
      <w:sdtPr>
        <w:rPr>
          <w:rFonts w:asciiTheme="minorHAnsi" w:eastAsiaTheme="minorHAnsi" w:hAnsiTheme="minorHAnsi" w:cstheme="minorBidi"/>
          <w:bCs w:val="0"/>
          <w:color w:val="auto"/>
          <w:kern w:val="0"/>
          <w:sz w:val="22"/>
          <w:szCs w:val="22"/>
          <w:lang w:eastAsia="en-US"/>
        </w:rPr>
        <w:id w:val="322085850"/>
        <w:docPartObj>
          <w:docPartGallery w:val="Table of Contents"/>
          <w:docPartUnique/>
        </w:docPartObj>
      </w:sdtPr>
      <w:sdtEndPr>
        <w:rPr>
          <w:b/>
          <w:noProof/>
        </w:rPr>
      </w:sdtEndPr>
      <w:sdtContent>
        <w:p w14:paraId="5FD97EBF" w14:textId="30DC2C38" w:rsidR="008B19AE" w:rsidRDefault="008B19AE">
          <w:pPr>
            <w:pStyle w:val="TOCHeading"/>
          </w:pPr>
          <w:r>
            <w:t>Contents</w:t>
          </w:r>
          <w:bookmarkEnd w:id="0"/>
        </w:p>
        <w:p w14:paraId="3A2F06A3" w14:textId="4DE797BC" w:rsidR="00C708B4" w:rsidRDefault="008B19AE">
          <w:pPr>
            <w:pStyle w:val="TOC1"/>
            <w:rPr>
              <w:rFonts w:eastAsiaTheme="minorEastAsia"/>
              <w:b w:val="0"/>
              <w:lang w:eastAsia="en-AU"/>
            </w:rPr>
          </w:pPr>
          <w:r>
            <w:fldChar w:fldCharType="begin"/>
          </w:r>
          <w:r>
            <w:instrText xml:space="preserve"> TOC \o "1-3" \h \z \u </w:instrText>
          </w:r>
          <w:r>
            <w:fldChar w:fldCharType="separate"/>
          </w:r>
          <w:hyperlink w:anchor="_Toc511217260" w:history="1">
            <w:r w:rsidR="00C708B4" w:rsidRPr="003F1AA5">
              <w:rPr>
                <w:rStyle w:val="Hyperlink"/>
              </w:rPr>
              <w:t>Contents</w:t>
            </w:r>
            <w:r w:rsidR="00C708B4">
              <w:rPr>
                <w:webHidden/>
              </w:rPr>
              <w:tab/>
            </w:r>
            <w:r w:rsidR="00C708B4">
              <w:rPr>
                <w:webHidden/>
              </w:rPr>
              <w:fldChar w:fldCharType="begin"/>
            </w:r>
            <w:r w:rsidR="00C708B4">
              <w:rPr>
                <w:webHidden/>
              </w:rPr>
              <w:instrText xml:space="preserve"> PAGEREF _Toc511217260 \h </w:instrText>
            </w:r>
            <w:r w:rsidR="00C708B4">
              <w:rPr>
                <w:webHidden/>
              </w:rPr>
            </w:r>
            <w:r w:rsidR="00C708B4">
              <w:rPr>
                <w:webHidden/>
              </w:rPr>
              <w:fldChar w:fldCharType="separate"/>
            </w:r>
            <w:r w:rsidR="00110A90">
              <w:rPr>
                <w:webHidden/>
              </w:rPr>
              <w:t>1</w:t>
            </w:r>
            <w:r w:rsidR="00C708B4">
              <w:rPr>
                <w:webHidden/>
              </w:rPr>
              <w:fldChar w:fldCharType="end"/>
            </w:r>
          </w:hyperlink>
        </w:p>
        <w:p w14:paraId="391E6AF0" w14:textId="0DB924E2" w:rsidR="00C708B4" w:rsidRDefault="00BC067A">
          <w:pPr>
            <w:pStyle w:val="TOC1"/>
            <w:rPr>
              <w:rFonts w:eastAsiaTheme="minorEastAsia"/>
              <w:b w:val="0"/>
              <w:lang w:eastAsia="en-AU"/>
            </w:rPr>
          </w:pPr>
          <w:hyperlink w:anchor="_Toc511217261" w:history="1">
            <w:r w:rsidR="00C708B4" w:rsidRPr="003F1AA5">
              <w:rPr>
                <w:rStyle w:val="Hyperlink"/>
                <w:rFonts w:asciiTheme="majorHAnsi" w:eastAsia="Times New Roman" w:hAnsiTheme="majorHAnsi" w:cs="Arial"/>
                <w:bCs/>
                <w:kern w:val="32"/>
                <w:lang w:eastAsia="en-AU"/>
              </w:rPr>
              <w:t>Vision 2020 Australia Submission to the Closing the Gap Refresh Discussion Paper</w:t>
            </w:r>
            <w:r w:rsidR="00C708B4">
              <w:rPr>
                <w:webHidden/>
              </w:rPr>
              <w:tab/>
            </w:r>
            <w:r w:rsidR="00C708B4">
              <w:rPr>
                <w:webHidden/>
              </w:rPr>
              <w:fldChar w:fldCharType="begin"/>
            </w:r>
            <w:r w:rsidR="00C708B4">
              <w:rPr>
                <w:webHidden/>
              </w:rPr>
              <w:instrText xml:space="preserve"> PAGEREF _Toc511217261 \h </w:instrText>
            </w:r>
            <w:r w:rsidR="00C708B4">
              <w:rPr>
                <w:webHidden/>
              </w:rPr>
            </w:r>
            <w:r w:rsidR="00C708B4">
              <w:rPr>
                <w:webHidden/>
              </w:rPr>
              <w:fldChar w:fldCharType="separate"/>
            </w:r>
            <w:r w:rsidR="00110A90">
              <w:rPr>
                <w:webHidden/>
              </w:rPr>
              <w:t>2</w:t>
            </w:r>
            <w:r w:rsidR="00C708B4">
              <w:rPr>
                <w:webHidden/>
              </w:rPr>
              <w:fldChar w:fldCharType="end"/>
            </w:r>
          </w:hyperlink>
        </w:p>
        <w:p w14:paraId="1F79F3A1" w14:textId="396A8F12" w:rsidR="00C708B4" w:rsidRPr="00E80DBC" w:rsidRDefault="00BC067A" w:rsidP="00E80DBC">
          <w:pPr>
            <w:pStyle w:val="TOC1"/>
            <w:rPr>
              <w:rFonts w:eastAsiaTheme="minorEastAsia"/>
              <w:b w:val="0"/>
              <w:lang w:eastAsia="en-AU"/>
            </w:rPr>
          </w:pPr>
          <w:hyperlink w:anchor="_Toc511217262" w:history="1">
            <w:r w:rsidR="00C708B4" w:rsidRPr="003F1AA5">
              <w:rPr>
                <w:rStyle w:val="Hyperlink"/>
                <w:rFonts w:asciiTheme="majorHAnsi" w:eastAsia="Times New Roman" w:hAnsiTheme="majorHAnsi" w:cs="Arial"/>
                <w:bCs/>
                <w:kern w:val="32"/>
                <w:lang w:eastAsia="en-AU"/>
              </w:rPr>
              <w:t>Executive Summary</w:t>
            </w:r>
            <w:r w:rsidR="00C708B4">
              <w:rPr>
                <w:webHidden/>
              </w:rPr>
              <w:tab/>
            </w:r>
            <w:r w:rsidR="00C708B4">
              <w:rPr>
                <w:webHidden/>
              </w:rPr>
              <w:fldChar w:fldCharType="begin"/>
            </w:r>
            <w:r w:rsidR="00C708B4">
              <w:rPr>
                <w:webHidden/>
              </w:rPr>
              <w:instrText xml:space="preserve"> PAGEREF _Toc511217262 \h </w:instrText>
            </w:r>
            <w:r w:rsidR="00C708B4">
              <w:rPr>
                <w:webHidden/>
              </w:rPr>
            </w:r>
            <w:r w:rsidR="00C708B4">
              <w:rPr>
                <w:webHidden/>
              </w:rPr>
              <w:fldChar w:fldCharType="separate"/>
            </w:r>
            <w:r w:rsidR="00110A90">
              <w:rPr>
                <w:webHidden/>
              </w:rPr>
              <w:t>2</w:t>
            </w:r>
            <w:r w:rsidR="00C708B4">
              <w:rPr>
                <w:webHidden/>
              </w:rPr>
              <w:fldChar w:fldCharType="end"/>
            </w:r>
          </w:hyperlink>
          <w:hyperlink w:anchor="_Toc511217263" w:history="1"/>
        </w:p>
        <w:p w14:paraId="1F4DC8CF" w14:textId="3158EBCE" w:rsidR="00C708B4" w:rsidRDefault="00BC067A">
          <w:pPr>
            <w:pStyle w:val="TOC1"/>
            <w:rPr>
              <w:rFonts w:eastAsiaTheme="minorEastAsia"/>
              <w:b w:val="0"/>
              <w:lang w:eastAsia="en-AU"/>
            </w:rPr>
          </w:pPr>
          <w:hyperlink w:anchor="_Toc511217268" w:history="1">
            <w:r w:rsidR="00C708B4" w:rsidRPr="003F1AA5">
              <w:rPr>
                <w:rStyle w:val="Hyperlink"/>
                <w:rFonts w:asciiTheme="majorHAnsi" w:eastAsia="Times New Roman" w:hAnsiTheme="majorHAnsi" w:cs="Arial"/>
                <w:bCs/>
                <w:kern w:val="32"/>
                <w:lang w:eastAsia="en-AU"/>
              </w:rPr>
              <w:t>Recommendations</w:t>
            </w:r>
            <w:r w:rsidR="00C708B4">
              <w:rPr>
                <w:webHidden/>
              </w:rPr>
              <w:tab/>
            </w:r>
            <w:r w:rsidR="00C708B4">
              <w:rPr>
                <w:webHidden/>
              </w:rPr>
              <w:fldChar w:fldCharType="begin"/>
            </w:r>
            <w:r w:rsidR="00C708B4">
              <w:rPr>
                <w:webHidden/>
              </w:rPr>
              <w:instrText xml:space="preserve"> PAGEREF _Toc511217268 \h </w:instrText>
            </w:r>
            <w:r w:rsidR="00C708B4">
              <w:rPr>
                <w:webHidden/>
              </w:rPr>
            </w:r>
            <w:r w:rsidR="00C708B4">
              <w:rPr>
                <w:webHidden/>
              </w:rPr>
              <w:fldChar w:fldCharType="separate"/>
            </w:r>
            <w:r w:rsidR="00110A90">
              <w:rPr>
                <w:webHidden/>
              </w:rPr>
              <w:t>3</w:t>
            </w:r>
            <w:r w:rsidR="00C708B4">
              <w:rPr>
                <w:webHidden/>
              </w:rPr>
              <w:fldChar w:fldCharType="end"/>
            </w:r>
          </w:hyperlink>
        </w:p>
        <w:p w14:paraId="061D6D6B" w14:textId="305D5CE2" w:rsidR="00C708B4" w:rsidRDefault="00BC067A">
          <w:pPr>
            <w:pStyle w:val="TOC1"/>
            <w:rPr>
              <w:rFonts w:eastAsiaTheme="minorEastAsia"/>
              <w:b w:val="0"/>
              <w:lang w:eastAsia="en-AU"/>
            </w:rPr>
          </w:pPr>
          <w:hyperlink w:anchor="_Toc511217269" w:history="1">
            <w:r w:rsidR="00C708B4" w:rsidRPr="003F1AA5">
              <w:rPr>
                <w:rStyle w:val="Hyperlink"/>
              </w:rPr>
              <w:t>Introduction</w:t>
            </w:r>
            <w:r w:rsidR="00C708B4">
              <w:rPr>
                <w:webHidden/>
              </w:rPr>
              <w:tab/>
            </w:r>
            <w:r w:rsidR="00C708B4">
              <w:rPr>
                <w:webHidden/>
              </w:rPr>
              <w:fldChar w:fldCharType="begin"/>
            </w:r>
            <w:r w:rsidR="00C708B4">
              <w:rPr>
                <w:webHidden/>
              </w:rPr>
              <w:instrText xml:space="preserve"> PAGEREF _Toc511217269 \h </w:instrText>
            </w:r>
            <w:r w:rsidR="00C708B4">
              <w:rPr>
                <w:webHidden/>
              </w:rPr>
            </w:r>
            <w:r w:rsidR="00C708B4">
              <w:rPr>
                <w:webHidden/>
              </w:rPr>
              <w:fldChar w:fldCharType="separate"/>
            </w:r>
            <w:r w:rsidR="00110A90">
              <w:rPr>
                <w:webHidden/>
              </w:rPr>
              <w:t>4</w:t>
            </w:r>
            <w:r w:rsidR="00C708B4">
              <w:rPr>
                <w:webHidden/>
              </w:rPr>
              <w:fldChar w:fldCharType="end"/>
            </w:r>
          </w:hyperlink>
        </w:p>
        <w:p w14:paraId="31FB4889" w14:textId="734AB4B4" w:rsidR="00C708B4" w:rsidRDefault="00BC067A">
          <w:pPr>
            <w:pStyle w:val="TOC1"/>
            <w:rPr>
              <w:rFonts w:eastAsiaTheme="minorEastAsia"/>
              <w:b w:val="0"/>
              <w:lang w:eastAsia="en-AU"/>
            </w:rPr>
          </w:pPr>
          <w:hyperlink w:anchor="_Toc511217270" w:history="1">
            <w:r w:rsidR="00C708B4" w:rsidRPr="003F1AA5">
              <w:rPr>
                <w:rStyle w:val="Hyperlink"/>
              </w:rPr>
              <w:t>Factors impacting on Aboriginal and Torres Strait Islander people’s health</w:t>
            </w:r>
            <w:r w:rsidR="00C708B4">
              <w:rPr>
                <w:webHidden/>
              </w:rPr>
              <w:tab/>
            </w:r>
            <w:r w:rsidR="00C708B4">
              <w:rPr>
                <w:webHidden/>
              </w:rPr>
              <w:fldChar w:fldCharType="begin"/>
            </w:r>
            <w:r w:rsidR="00C708B4">
              <w:rPr>
                <w:webHidden/>
              </w:rPr>
              <w:instrText xml:space="preserve"> PAGEREF _Toc511217270 \h </w:instrText>
            </w:r>
            <w:r w:rsidR="00C708B4">
              <w:rPr>
                <w:webHidden/>
              </w:rPr>
            </w:r>
            <w:r w:rsidR="00C708B4">
              <w:rPr>
                <w:webHidden/>
              </w:rPr>
              <w:fldChar w:fldCharType="separate"/>
            </w:r>
            <w:r w:rsidR="00110A90">
              <w:rPr>
                <w:webHidden/>
              </w:rPr>
              <w:t>5</w:t>
            </w:r>
            <w:r w:rsidR="00C708B4">
              <w:rPr>
                <w:webHidden/>
              </w:rPr>
              <w:fldChar w:fldCharType="end"/>
            </w:r>
          </w:hyperlink>
        </w:p>
        <w:p w14:paraId="101A7F1F" w14:textId="604720AC" w:rsidR="00C708B4" w:rsidRDefault="00BC067A">
          <w:pPr>
            <w:pStyle w:val="TOC1"/>
            <w:rPr>
              <w:rFonts w:eastAsiaTheme="minorEastAsia"/>
              <w:b w:val="0"/>
              <w:lang w:eastAsia="en-AU"/>
            </w:rPr>
          </w:pPr>
          <w:hyperlink w:anchor="_Toc511217271" w:history="1">
            <w:r w:rsidR="00C708B4" w:rsidRPr="003F1AA5">
              <w:rPr>
                <w:rStyle w:val="Hyperlink"/>
              </w:rPr>
              <w:t>Collaboration between Aboriginal and Torres Strait Islander People, community-led organisations, government and business</w:t>
            </w:r>
            <w:r w:rsidR="00C708B4">
              <w:rPr>
                <w:webHidden/>
              </w:rPr>
              <w:tab/>
            </w:r>
            <w:r w:rsidR="00C708B4">
              <w:rPr>
                <w:webHidden/>
              </w:rPr>
              <w:fldChar w:fldCharType="begin"/>
            </w:r>
            <w:r w:rsidR="00C708B4">
              <w:rPr>
                <w:webHidden/>
              </w:rPr>
              <w:instrText xml:space="preserve"> PAGEREF _Toc511217271 \h </w:instrText>
            </w:r>
            <w:r w:rsidR="00C708B4">
              <w:rPr>
                <w:webHidden/>
              </w:rPr>
            </w:r>
            <w:r w:rsidR="00C708B4">
              <w:rPr>
                <w:webHidden/>
              </w:rPr>
              <w:fldChar w:fldCharType="separate"/>
            </w:r>
            <w:r w:rsidR="00110A90">
              <w:rPr>
                <w:webHidden/>
              </w:rPr>
              <w:t>8</w:t>
            </w:r>
            <w:r w:rsidR="00C708B4">
              <w:rPr>
                <w:webHidden/>
              </w:rPr>
              <w:fldChar w:fldCharType="end"/>
            </w:r>
          </w:hyperlink>
        </w:p>
        <w:p w14:paraId="638B8973" w14:textId="2EE65B7D" w:rsidR="00C708B4" w:rsidRDefault="00BC067A">
          <w:pPr>
            <w:pStyle w:val="TOC2"/>
            <w:rPr>
              <w:rFonts w:eastAsiaTheme="minorEastAsia"/>
              <w:lang w:eastAsia="en-AU"/>
            </w:rPr>
          </w:pPr>
          <w:hyperlink w:anchor="_Toc511217272" w:history="1">
            <w:r w:rsidR="00C708B4" w:rsidRPr="003F1AA5">
              <w:rPr>
                <w:rStyle w:val="Hyperlink"/>
              </w:rPr>
              <w:t>Collaborate with Aboriginal and Torres Strait Islander people and organisations</w:t>
            </w:r>
            <w:r w:rsidR="00C708B4">
              <w:rPr>
                <w:webHidden/>
              </w:rPr>
              <w:tab/>
            </w:r>
            <w:r w:rsidR="00C708B4">
              <w:rPr>
                <w:webHidden/>
              </w:rPr>
              <w:fldChar w:fldCharType="begin"/>
            </w:r>
            <w:r w:rsidR="00C708B4">
              <w:rPr>
                <w:webHidden/>
              </w:rPr>
              <w:instrText xml:space="preserve"> PAGEREF _Toc511217272 \h </w:instrText>
            </w:r>
            <w:r w:rsidR="00C708B4">
              <w:rPr>
                <w:webHidden/>
              </w:rPr>
            </w:r>
            <w:r w:rsidR="00C708B4">
              <w:rPr>
                <w:webHidden/>
              </w:rPr>
              <w:fldChar w:fldCharType="separate"/>
            </w:r>
            <w:r w:rsidR="00110A90">
              <w:rPr>
                <w:webHidden/>
              </w:rPr>
              <w:t>8</w:t>
            </w:r>
            <w:r w:rsidR="00C708B4">
              <w:rPr>
                <w:webHidden/>
              </w:rPr>
              <w:fldChar w:fldCharType="end"/>
            </w:r>
          </w:hyperlink>
        </w:p>
        <w:p w14:paraId="7B24DBA9" w14:textId="6D24AF28" w:rsidR="00C708B4" w:rsidRDefault="00BC067A">
          <w:pPr>
            <w:pStyle w:val="TOC2"/>
            <w:rPr>
              <w:rFonts w:eastAsiaTheme="minorEastAsia"/>
              <w:lang w:eastAsia="en-AU"/>
            </w:rPr>
          </w:pPr>
          <w:hyperlink w:anchor="_Toc511217273" w:history="1">
            <w:r w:rsidR="00C708B4" w:rsidRPr="003F1AA5">
              <w:rPr>
                <w:rStyle w:val="Hyperlink"/>
              </w:rPr>
              <w:t>Funding should be based on Aboriginal and Torres Strait Islander health needs, not political cycles</w:t>
            </w:r>
            <w:r w:rsidR="00C708B4">
              <w:rPr>
                <w:webHidden/>
              </w:rPr>
              <w:tab/>
            </w:r>
            <w:r w:rsidR="00C708B4">
              <w:rPr>
                <w:webHidden/>
              </w:rPr>
              <w:fldChar w:fldCharType="begin"/>
            </w:r>
            <w:r w:rsidR="00C708B4">
              <w:rPr>
                <w:webHidden/>
              </w:rPr>
              <w:instrText xml:space="preserve"> PAGEREF _Toc511217273 \h </w:instrText>
            </w:r>
            <w:r w:rsidR="00C708B4">
              <w:rPr>
                <w:webHidden/>
              </w:rPr>
            </w:r>
            <w:r w:rsidR="00C708B4">
              <w:rPr>
                <w:webHidden/>
              </w:rPr>
              <w:fldChar w:fldCharType="separate"/>
            </w:r>
            <w:r w:rsidR="00110A90">
              <w:rPr>
                <w:webHidden/>
              </w:rPr>
              <w:t>9</w:t>
            </w:r>
            <w:r w:rsidR="00C708B4">
              <w:rPr>
                <w:webHidden/>
              </w:rPr>
              <w:fldChar w:fldCharType="end"/>
            </w:r>
          </w:hyperlink>
        </w:p>
        <w:p w14:paraId="500BEF42" w14:textId="15CA4443" w:rsidR="00C708B4" w:rsidRDefault="00BC067A">
          <w:pPr>
            <w:pStyle w:val="TOC2"/>
            <w:rPr>
              <w:rFonts w:eastAsiaTheme="minorEastAsia"/>
              <w:lang w:eastAsia="en-AU"/>
            </w:rPr>
          </w:pPr>
          <w:hyperlink w:anchor="_Toc511217274" w:history="1">
            <w:r w:rsidR="00C708B4" w:rsidRPr="003F1AA5">
              <w:rPr>
                <w:rStyle w:val="Hyperlink"/>
              </w:rPr>
              <w:t>Achieve consistency across Commonwealth, State and Territory approaches</w:t>
            </w:r>
            <w:r w:rsidR="00C708B4">
              <w:rPr>
                <w:webHidden/>
              </w:rPr>
              <w:tab/>
            </w:r>
            <w:r w:rsidR="00C708B4">
              <w:rPr>
                <w:webHidden/>
              </w:rPr>
              <w:fldChar w:fldCharType="begin"/>
            </w:r>
            <w:r w:rsidR="00C708B4">
              <w:rPr>
                <w:webHidden/>
              </w:rPr>
              <w:instrText xml:space="preserve"> PAGEREF _Toc511217274 \h </w:instrText>
            </w:r>
            <w:r w:rsidR="00C708B4">
              <w:rPr>
                <w:webHidden/>
              </w:rPr>
            </w:r>
            <w:r w:rsidR="00C708B4">
              <w:rPr>
                <w:webHidden/>
              </w:rPr>
              <w:fldChar w:fldCharType="separate"/>
            </w:r>
            <w:r w:rsidR="00110A90">
              <w:rPr>
                <w:webHidden/>
              </w:rPr>
              <w:t>10</w:t>
            </w:r>
            <w:r w:rsidR="00C708B4">
              <w:rPr>
                <w:webHidden/>
              </w:rPr>
              <w:fldChar w:fldCharType="end"/>
            </w:r>
          </w:hyperlink>
        </w:p>
        <w:p w14:paraId="74E6A365" w14:textId="01D02A73" w:rsidR="00C708B4" w:rsidRDefault="00BC067A">
          <w:pPr>
            <w:pStyle w:val="TOC1"/>
            <w:rPr>
              <w:rFonts w:eastAsiaTheme="minorEastAsia"/>
              <w:b w:val="0"/>
              <w:lang w:eastAsia="en-AU"/>
            </w:rPr>
          </w:pPr>
          <w:hyperlink w:anchor="_Toc511217275" w:history="1">
            <w:r w:rsidR="00C708B4" w:rsidRPr="003F1AA5">
              <w:rPr>
                <w:rStyle w:val="Hyperlink"/>
              </w:rPr>
              <w:t>Measuring targets</w:t>
            </w:r>
            <w:r w:rsidR="00C708B4">
              <w:rPr>
                <w:webHidden/>
              </w:rPr>
              <w:tab/>
            </w:r>
            <w:r w:rsidR="00C708B4">
              <w:rPr>
                <w:webHidden/>
              </w:rPr>
              <w:fldChar w:fldCharType="begin"/>
            </w:r>
            <w:r w:rsidR="00C708B4">
              <w:rPr>
                <w:webHidden/>
              </w:rPr>
              <w:instrText xml:space="preserve"> PAGEREF _Toc511217275 \h </w:instrText>
            </w:r>
            <w:r w:rsidR="00C708B4">
              <w:rPr>
                <w:webHidden/>
              </w:rPr>
            </w:r>
            <w:r w:rsidR="00C708B4">
              <w:rPr>
                <w:webHidden/>
              </w:rPr>
              <w:fldChar w:fldCharType="separate"/>
            </w:r>
            <w:r w:rsidR="00110A90">
              <w:rPr>
                <w:webHidden/>
              </w:rPr>
              <w:t>11</w:t>
            </w:r>
            <w:r w:rsidR="00C708B4">
              <w:rPr>
                <w:webHidden/>
              </w:rPr>
              <w:fldChar w:fldCharType="end"/>
            </w:r>
          </w:hyperlink>
        </w:p>
        <w:p w14:paraId="4F175386" w14:textId="599B2880" w:rsidR="00C708B4" w:rsidRDefault="00BC067A">
          <w:pPr>
            <w:pStyle w:val="TOC2"/>
            <w:rPr>
              <w:rFonts w:eastAsiaTheme="minorEastAsia"/>
              <w:lang w:eastAsia="en-AU"/>
            </w:rPr>
          </w:pPr>
          <w:hyperlink w:anchor="_Toc511217276" w:history="1">
            <w:r w:rsidR="00C708B4" w:rsidRPr="003F1AA5">
              <w:rPr>
                <w:rStyle w:val="Hyperlink"/>
              </w:rPr>
              <w:t>Measuring and targets: Are we measuring the right things?</w:t>
            </w:r>
            <w:r w:rsidR="00C708B4">
              <w:rPr>
                <w:webHidden/>
              </w:rPr>
              <w:tab/>
            </w:r>
            <w:r w:rsidR="00C708B4">
              <w:rPr>
                <w:webHidden/>
              </w:rPr>
              <w:fldChar w:fldCharType="begin"/>
            </w:r>
            <w:r w:rsidR="00C708B4">
              <w:rPr>
                <w:webHidden/>
              </w:rPr>
              <w:instrText xml:space="preserve"> PAGEREF _Toc511217276 \h </w:instrText>
            </w:r>
            <w:r w:rsidR="00C708B4">
              <w:rPr>
                <w:webHidden/>
              </w:rPr>
            </w:r>
            <w:r w:rsidR="00C708B4">
              <w:rPr>
                <w:webHidden/>
              </w:rPr>
              <w:fldChar w:fldCharType="separate"/>
            </w:r>
            <w:r w:rsidR="00110A90">
              <w:rPr>
                <w:webHidden/>
              </w:rPr>
              <w:t>11</w:t>
            </w:r>
            <w:r w:rsidR="00C708B4">
              <w:rPr>
                <w:webHidden/>
              </w:rPr>
              <w:fldChar w:fldCharType="end"/>
            </w:r>
          </w:hyperlink>
        </w:p>
        <w:p w14:paraId="4CEC2301" w14:textId="77276130" w:rsidR="00C708B4" w:rsidRDefault="00BC067A">
          <w:pPr>
            <w:pStyle w:val="TOC2"/>
            <w:rPr>
              <w:rFonts w:eastAsiaTheme="minorEastAsia"/>
              <w:lang w:eastAsia="en-AU"/>
            </w:rPr>
          </w:pPr>
          <w:hyperlink w:anchor="_Toc511217277" w:history="1">
            <w:r w:rsidR="00C708B4" w:rsidRPr="003F1AA5">
              <w:rPr>
                <w:rStyle w:val="Hyperlink"/>
              </w:rPr>
              <w:t>Indicators that are hard to measure</w:t>
            </w:r>
            <w:r w:rsidR="00C708B4">
              <w:rPr>
                <w:webHidden/>
              </w:rPr>
              <w:tab/>
            </w:r>
            <w:r w:rsidR="00C708B4">
              <w:rPr>
                <w:webHidden/>
              </w:rPr>
              <w:fldChar w:fldCharType="begin"/>
            </w:r>
            <w:r w:rsidR="00C708B4">
              <w:rPr>
                <w:webHidden/>
              </w:rPr>
              <w:instrText xml:space="preserve"> PAGEREF _Toc511217277 \h </w:instrText>
            </w:r>
            <w:r w:rsidR="00C708B4">
              <w:rPr>
                <w:webHidden/>
              </w:rPr>
            </w:r>
            <w:r w:rsidR="00C708B4">
              <w:rPr>
                <w:webHidden/>
              </w:rPr>
              <w:fldChar w:fldCharType="separate"/>
            </w:r>
            <w:r w:rsidR="00110A90">
              <w:rPr>
                <w:webHidden/>
              </w:rPr>
              <w:t>11</w:t>
            </w:r>
            <w:r w:rsidR="00C708B4">
              <w:rPr>
                <w:webHidden/>
              </w:rPr>
              <w:fldChar w:fldCharType="end"/>
            </w:r>
          </w:hyperlink>
        </w:p>
        <w:p w14:paraId="1A07C9B6" w14:textId="6E0A7530" w:rsidR="00C708B4" w:rsidRDefault="00BC067A">
          <w:pPr>
            <w:pStyle w:val="TOC2"/>
            <w:rPr>
              <w:rFonts w:eastAsiaTheme="minorEastAsia"/>
              <w:lang w:eastAsia="en-AU"/>
            </w:rPr>
          </w:pPr>
          <w:hyperlink w:anchor="_Toc511217278" w:history="1">
            <w:r w:rsidR="00C708B4" w:rsidRPr="003F1AA5">
              <w:rPr>
                <w:rStyle w:val="Hyperlink"/>
              </w:rPr>
              <w:t>Measuring prosperity and aspirations</w:t>
            </w:r>
            <w:r w:rsidR="00C708B4">
              <w:rPr>
                <w:webHidden/>
              </w:rPr>
              <w:tab/>
            </w:r>
            <w:r w:rsidR="00C708B4">
              <w:rPr>
                <w:webHidden/>
              </w:rPr>
              <w:fldChar w:fldCharType="begin"/>
            </w:r>
            <w:r w:rsidR="00C708B4">
              <w:rPr>
                <w:webHidden/>
              </w:rPr>
              <w:instrText xml:space="preserve"> PAGEREF _Toc511217278 \h </w:instrText>
            </w:r>
            <w:r w:rsidR="00C708B4">
              <w:rPr>
                <w:webHidden/>
              </w:rPr>
            </w:r>
            <w:r w:rsidR="00C708B4">
              <w:rPr>
                <w:webHidden/>
              </w:rPr>
              <w:fldChar w:fldCharType="separate"/>
            </w:r>
            <w:r w:rsidR="00110A90">
              <w:rPr>
                <w:webHidden/>
              </w:rPr>
              <w:t>12</w:t>
            </w:r>
            <w:r w:rsidR="00C708B4">
              <w:rPr>
                <w:webHidden/>
              </w:rPr>
              <w:fldChar w:fldCharType="end"/>
            </w:r>
          </w:hyperlink>
        </w:p>
        <w:p w14:paraId="37D2179F" w14:textId="585B464A" w:rsidR="00C708B4" w:rsidRDefault="00BC067A">
          <w:pPr>
            <w:pStyle w:val="TOC2"/>
            <w:rPr>
              <w:rFonts w:eastAsiaTheme="minorEastAsia"/>
              <w:lang w:eastAsia="en-AU"/>
            </w:rPr>
          </w:pPr>
          <w:hyperlink w:anchor="_Toc511217279" w:history="1">
            <w:r w:rsidR="00C708B4" w:rsidRPr="003F1AA5">
              <w:rPr>
                <w:rStyle w:val="Hyperlink"/>
              </w:rPr>
              <w:t>Tangible Indicators</w:t>
            </w:r>
            <w:r w:rsidR="00C708B4">
              <w:rPr>
                <w:webHidden/>
              </w:rPr>
              <w:tab/>
            </w:r>
            <w:r w:rsidR="00C708B4">
              <w:rPr>
                <w:webHidden/>
              </w:rPr>
              <w:fldChar w:fldCharType="begin"/>
            </w:r>
            <w:r w:rsidR="00C708B4">
              <w:rPr>
                <w:webHidden/>
              </w:rPr>
              <w:instrText xml:space="preserve"> PAGEREF _Toc511217279 \h </w:instrText>
            </w:r>
            <w:r w:rsidR="00C708B4">
              <w:rPr>
                <w:webHidden/>
              </w:rPr>
            </w:r>
            <w:r w:rsidR="00C708B4">
              <w:rPr>
                <w:webHidden/>
              </w:rPr>
              <w:fldChar w:fldCharType="separate"/>
            </w:r>
            <w:r w:rsidR="00110A90">
              <w:rPr>
                <w:webHidden/>
              </w:rPr>
              <w:t>13</w:t>
            </w:r>
            <w:r w:rsidR="00C708B4">
              <w:rPr>
                <w:webHidden/>
              </w:rPr>
              <w:fldChar w:fldCharType="end"/>
            </w:r>
          </w:hyperlink>
        </w:p>
        <w:p w14:paraId="11E0F3B3" w14:textId="7EEC38B1" w:rsidR="00C708B4" w:rsidRDefault="00BC067A">
          <w:pPr>
            <w:pStyle w:val="TOC1"/>
            <w:rPr>
              <w:rFonts w:eastAsiaTheme="minorEastAsia"/>
              <w:b w:val="0"/>
              <w:lang w:eastAsia="en-AU"/>
            </w:rPr>
          </w:pPr>
          <w:hyperlink w:anchor="_Toc511217280" w:history="1">
            <w:r w:rsidR="00C708B4" w:rsidRPr="003F1AA5">
              <w:rPr>
                <w:rStyle w:val="Hyperlink"/>
              </w:rPr>
              <w:t>Aboriginal and Torres Strait Islander people with disability</w:t>
            </w:r>
            <w:r w:rsidR="00C708B4">
              <w:rPr>
                <w:webHidden/>
              </w:rPr>
              <w:tab/>
            </w:r>
            <w:r w:rsidR="00C708B4">
              <w:rPr>
                <w:webHidden/>
              </w:rPr>
              <w:fldChar w:fldCharType="begin"/>
            </w:r>
            <w:r w:rsidR="00C708B4">
              <w:rPr>
                <w:webHidden/>
              </w:rPr>
              <w:instrText xml:space="preserve"> PAGEREF _Toc511217280 \h </w:instrText>
            </w:r>
            <w:r w:rsidR="00C708B4">
              <w:rPr>
                <w:webHidden/>
              </w:rPr>
            </w:r>
            <w:r w:rsidR="00C708B4">
              <w:rPr>
                <w:webHidden/>
              </w:rPr>
              <w:fldChar w:fldCharType="separate"/>
            </w:r>
            <w:r w:rsidR="00110A90">
              <w:rPr>
                <w:webHidden/>
              </w:rPr>
              <w:t>14</w:t>
            </w:r>
            <w:r w:rsidR="00C708B4">
              <w:rPr>
                <w:webHidden/>
              </w:rPr>
              <w:fldChar w:fldCharType="end"/>
            </w:r>
          </w:hyperlink>
        </w:p>
        <w:p w14:paraId="7DF1D1B2" w14:textId="2A9D3322" w:rsidR="00C708B4" w:rsidRDefault="00BC067A">
          <w:pPr>
            <w:pStyle w:val="TOC2"/>
            <w:rPr>
              <w:rFonts w:eastAsiaTheme="minorEastAsia"/>
              <w:lang w:eastAsia="en-AU"/>
            </w:rPr>
          </w:pPr>
          <w:hyperlink w:anchor="_Toc511217281" w:history="1">
            <w:r w:rsidR="00C708B4" w:rsidRPr="003F1AA5">
              <w:rPr>
                <w:rStyle w:val="Hyperlink"/>
              </w:rPr>
              <w:t>Intersectionality</w:t>
            </w:r>
            <w:r w:rsidR="00C708B4">
              <w:rPr>
                <w:webHidden/>
              </w:rPr>
              <w:tab/>
            </w:r>
            <w:r w:rsidR="00C708B4">
              <w:rPr>
                <w:webHidden/>
              </w:rPr>
              <w:fldChar w:fldCharType="begin"/>
            </w:r>
            <w:r w:rsidR="00C708B4">
              <w:rPr>
                <w:webHidden/>
              </w:rPr>
              <w:instrText xml:space="preserve"> PAGEREF _Toc511217281 \h </w:instrText>
            </w:r>
            <w:r w:rsidR="00C708B4">
              <w:rPr>
                <w:webHidden/>
              </w:rPr>
            </w:r>
            <w:r w:rsidR="00C708B4">
              <w:rPr>
                <w:webHidden/>
              </w:rPr>
              <w:fldChar w:fldCharType="separate"/>
            </w:r>
            <w:r w:rsidR="00110A90">
              <w:rPr>
                <w:webHidden/>
              </w:rPr>
              <w:t>14</w:t>
            </w:r>
            <w:r w:rsidR="00C708B4">
              <w:rPr>
                <w:webHidden/>
              </w:rPr>
              <w:fldChar w:fldCharType="end"/>
            </w:r>
          </w:hyperlink>
        </w:p>
        <w:p w14:paraId="4106984B" w14:textId="288861C8" w:rsidR="00C708B4" w:rsidRDefault="00BC067A">
          <w:pPr>
            <w:pStyle w:val="TOC1"/>
            <w:rPr>
              <w:rFonts w:eastAsiaTheme="minorEastAsia"/>
              <w:b w:val="0"/>
              <w:lang w:eastAsia="en-AU"/>
            </w:rPr>
          </w:pPr>
          <w:hyperlink w:anchor="_Toc511217282" w:history="1">
            <w:r w:rsidR="00C708B4" w:rsidRPr="003F1AA5">
              <w:rPr>
                <w:rStyle w:val="Hyperlink"/>
              </w:rPr>
              <w:t>Conclusion</w:t>
            </w:r>
            <w:r w:rsidR="00C708B4">
              <w:rPr>
                <w:webHidden/>
              </w:rPr>
              <w:tab/>
            </w:r>
            <w:r w:rsidR="00C708B4">
              <w:rPr>
                <w:webHidden/>
              </w:rPr>
              <w:fldChar w:fldCharType="begin"/>
            </w:r>
            <w:r w:rsidR="00C708B4">
              <w:rPr>
                <w:webHidden/>
              </w:rPr>
              <w:instrText xml:space="preserve"> PAGEREF _Toc511217282 \h </w:instrText>
            </w:r>
            <w:r w:rsidR="00C708B4">
              <w:rPr>
                <w:webHidden/>
              </w:rPr>
            </w:r>
            <w:r w:rsidR="00C708B4">
              <w:rPr>
                <w:webHidden/>
              </w:rPr>
              <w:fldChar w:fldCharType="separate"/>
            </w:r>
            <w:r w:rsidR="00110A90">
              <w:rPr>
                <w:webHidden/>
              </w:rPr>
              <w:t>15</w:t>
            </w:r>
            <w:r w:rsidR="00C708B4">
              <w:rPr>
                <w:webHidden/>
              </w:rPr>
              <w:fldChar w:fldCharType="end"/>
            </w:r>
          </w:hyperlink>
        </w:p>
        <w:p w14:paraId="35E05C39" w14:textId="041E570A" w:rsidR="008B19AE" w:rsidRDefault="008B19AE">
          <w:r>
            <w:rPr>
              <w:b/>
              <w:bCs/>
              <w:noProof/>
            </w:rPr>
            <w:fldChar w:fldCharType="end"/>
          </w:r>
        </w:p>
      </w:sdtContent>
    </w:sdt>
    <w:p w14:paraId="517C5D23" w14:textId="445DFBDF" w:rsidR="004A37D3" w:rsidRPr="004A37D3" w:rsidRDefault="004A37D3" w:rsidP="004A37D3">
      <w:pPr>
        <w:keepNext/>
        <w:keepLines/>
        <w:widowControl w:val="0"/>
        <w:spacing w:before="320" w:after="180"/>
        <w:outlineLvl w:val="0"/>
        <w:rPr>
          <w:rFonts w:asciiTheme="majorHAnsi" w:eastAsia="Times New Roman" w:hAnsiTheme="majorHAnsi" w:cs="Arial"/>
          <w:bCs/>
          <w:color w:val="004B8D" w:themeColor="accent1"/>
          <w:kern w:val="32"/>
          <w:sz w:val="36"/>
          <w:szCs w:val="32"/>
          <w:lang w:eastAsia="en-AU"/>
        </w:rPr>
      </w:pPr>
      <w:bookmarkStart w:id="1" w:name="_Toc511217261"/>
      <w:r w:rsidRPr="004A37D3">
        <w:rPr>
          <w:rFonts w:asciiTheme="majorHAnsi" w:eastAsia="Times New Roman" w:hAnsiTheme="majorHAnsi" w:cs="Arial"/>
          <w:bCs/>
          <w:color w:val="004B8D" w:themeColor="accent1"/>
          <w:kern w:val="32"/>
          <w:sz w:val="36"/>
          <w:szCs w:val="32"/>
          <w:lang w:eastAsia="en-AU"/>
        </w:rPr>
        <w:lastRenderedPageBreak/>
        <w:t>Vision 2020 Australia Submission to the Clos</w:t>
      </w:r>
      <w:r w:rsidR="00434395">
        <w:rPr>
          <w:rFonts w:asciiTheme="majorHAnsi" w:eastAsia="Times New Roman" w:hAnsiTheme="majorHAnsi" w:cs="Arial"/>
          <w:bCs/>
          <w:color w:val="004B8D" w:themeColor="accent1"/>
          <w:kern w:val="32"/>
          <w:sz w:val="36"/>
          <w:szCs w:val="32"/>
          <w:lang w:eastAsia="en-AU"/>
        </w:rPr>
        <w:t>ing</w:t>
      </w:r>
      <w:r w:rsidRPr="004A37D3">
        <w:rPr>
          <w:rFonts w:asciiTheme="majorHAnsi" w:eastAsia="Times New Roman" w:hAnsiTheme="majorHAnsi" w:cs="Arial"/>
          <w:bCs/>
          <w:color w:val="004B8D" w:themeColor="accent1"/>
          <w:kern w:val="32"/>
          <w:sz w:val="36"/>
          <w:szCs w:val="32"/>
          <w:lang w:eastAsia="en-AU"/>
        </w:rPr>
        <w:t xml:space="preserve"> the Gap Refresh Discussion Paper</w:t>
      </w:r>
      <w:bookmarkEnd w:id="1"/>
    </w:p>
    <w:p w14:paraId="507B8046" w14:textId="3BFB6C59" w:rsidR="004A37D3" w:rsidRPr="00F02DD8" w:rsidRDefault="004A37D3" w:rsidP="00F02DD8">
      <w:pPr>
        <w:keepNext/>
        <w:keepLines/>
        <w:widowControl w:val="0"/>
        <w:spacing w:before="320" w:after="180"/>
        <w:outlineLvl w:val="0"/>
        <w:rPr>
          <w:rFonts w:asciiTheme="majorHAnsi" w:eastAsia="Times New Roman" w:hAnsiTheme="majorHAnsi" w:cs="Arial"/>
          <w:bCs/>
          <w:color w:val="004B8D" w:themeColor="accent1"/>
          <w:kern w:val="32"/>
          <w:sz w:val="36"/>
          <w:szCs w:val="32"/>
          <w:lang w:eastAsia="en-AU"/>
        </w:rPr>
      </w:pPr>
      <w:bookmarkStart w:id="2" w:name="_Toc511217262"/>
      <w:r w:rsidRPr="004A37D3">
        <w:rPr>
          <w:rFonts w:asciiTheme="majorHAnsi" w:eastAsia="Times New Roman" w:hAnsiTheme="majorHAnsi" w:cs="Arial"/>
          <w:bCs/>
          <w:color w:val="004B8D" w:themeColor="accent1"/>
          <w:kern w:val="32"/>
          <w:sz w:val="36"/>
          <w:szCs w:val="32"/>
          <w:lang w:eastAsia="en-AU"/>
        </w:rPr>
        <w:t>Executive Summary</w:t>
      </w:r>
      <w:bookmarkEnd w:id="2"/>
    </w:p>
    <w:p w14:paraId="2CF4CCC8" w14:textId="77777777" w:rsidR="004A37D3" w:rsidRPr="004A37D3" w:rsidRDefault="004A37D3" w:rsidP="004A37D3">
      <w:pPr>
        <w:keepNext/>
        <w:keepLines/>
        <w:spacing w:before="240" w:after="120"/>
        <w:outlineLvl w:val="1"/>
        <w:rPr>
          <w:rFonts w:asciiTheme="majorHAnsi" w:eastAsia="Times New Roman" w:hAnsiTheme="majorHAnsi" w:cs="Arial"/>
          <w:bCs/>
          <w:iCs/>
          <w:color w:val="004B8D" w:themeColor="accent1"/>
          <w:sz w:val="28"/>
          <w:szCs w:val="28"/>
          <w:lang w:eastAsia="en-AU"/>
        </w:rPr>
      </w:pPr>
      <w:bookmarkStart w:id="3" w:name="_Toc509326293"/>
      <w:bookmarkStart w:id="4" w:name="_Toc509329926"/>
      <w:bookmarkStart w:id="5" w:name="_Toc509417400"/>
      <w:bookmarkStart w:id="6" w:name="_Toc511217263"/>
      <w:r w:rsidRPr="004A37D3">
        <w:rPr>
          <w:rFonts w:asciiTheme="majorHAnsi" w:eastAsia="Times New Roman" w:hAnsiTheme="majorHAnsi" w:cs="Arial"/>
          <w:bCs/>
          <w:iCs/>
          <w:color w:val="004B8D" w:themeColor="accent1"/>
          <w:sz w:val="28"/>
          <w:szCs w:val="28"/>
          <w:lang w:eastAsia="en-AU"/>
        </w:rPr>
        <w:t>Introduction</w:t>
      </w:r>
      <w:bookmarkEnd w:id="3"/>
      <w:bookmarkEnd w:id="4"/>
      <w:bookmarkEnd w:id="5"/>
      <w:bookmarkEnd w:id="6"/>
    </w:p>
    <w:p w14:paraId="4660D5D8" w14:textId="4CBD4B56" w:rsidR="004A37D3" w:rsidRPr="004A37D3" w:rsidRDefault="004A37D3" w:rsidP="004A37D3">
      <w:r w:rsidRPr="004A37D3">
        <w:t>Vision 2020 Australia’s submission was informed by ou</w:t>
      </w:r>
      <w:r w:rsidR="00F02DD8">
        <w:t>r</w:t>
      </w:r>
      <w:r w:rsidRPr="004A37D3">
        <w:t xml:space="preserve"> Aboriginal and Torres Strait Islander eye health policy committee. The Committee is made up of representatives providing health services to Aboriginal and Torres Strait Islander people and professional peaks, policy experts and academics.</w:t>
      </w:r>
    </w:p>
    <w:p w14:paraId="0BF89A5C" w14:textId="77777777" w:rsidR="004A37D3" w:rsidRPr="004A37D3" w:rsidRDefault="004A37D3" w:rsidP="004A37D3"/>
    <w:p w14:paraId="081754FC" w14:textId="1EE53649" w:rsidR="004A37D3" w:rsidRPr="004A37D3" w:rsidRDefault="004A37D3" w:rsidP="004A37D3">
      <w:r w:rsidRPr="004A37D3">
        <w:t xml:space="preserve">Our members call on the government to recommit to the Close the Gap Statement of Intent and undertake a process of true consultation with Aboriginal and Torres Strait Islander people to co-design the </w:t>
      </w:r>
      <w:r w:rsidR="00F02DD8">
        <w:t xml:space="preserve">refreshed </w:t>
      </w:r>
      <w:r w:rsidRPr="004A37D3">
        <w:t xml:space="preserve">Closing the Gap </w:t>
      </w:r>
      <w:r w:rsidR="00F02DD8">
        <w:t>strategy</w:t>
      </w:r>
      <w:r w:rsidRPr="004A37D3">
        <w:t>.</w:t>
      </w:r>
    </w:p>
    <w:p w14:paraId="0224085D" w14:textId="77777777" w:rsidR="004A37D3" w:rsidRPr="004A37D3" w:rsidRDefault="004A37D3" w:rsidP="004A37D3">
      <w:pPr>
        <w:keepNext/>
        <w:keepLines/>
        <w:spacing w:before="240" w:after="120"/>
        <w:outlineLvl w:val="1"/>
        <w:rPr>
          <w:rFonts w:asciiTheme="majorHAnsi" w:eastAsia="Times New Roman" w:hAnsiTheme="majorHAnsi" w:cs="Arial"/>
          <w:bCs/>
          <w:iCs/>
          <w:color w:val="004B8D" w:themeColor="accent1"/>
          <w:sz w:val="28"/>
          <w:szCs w:val="28"/>
          <w:lang w:eastAsia="en-AU"/>
        </w:rPr>
      </w:pPr>
      <w:bookmarkStart w:id="7" w:name="_Toc509326294"/>
      <w:bookmarkStart w:id="8" w:name="_Toc509329927"/>
      <w:bookmarkStart w:id="9" w:name="_Toc509417401"/>
      <w:bookmarkStart w:id="10" w:name="_Toc511217264"/>
      <w:r w:rsidRPr="004A37D3">
        <w:rPr>
          <w:rFonts w:asciiTheme="majorHAnsi" w:eastAsia="Times New Roman" w:hAnsiTheme="majorHAnsi" w:cs="Arial"/>
          <w:bCs/>
          <w:iCs/>
          <w:color w:val="004B8D" w:themeColor="accent1"/>
          <w:sz w:val="28"/>
          <w:szCs w:val="28"/>
          <w:lang w:eastAsia="en-AU"/>
        </w:rPr>
        <w:t>Factors impacting on Aboriginal and Torres Strait Islander people’s health</w:t>
      </w:r>
      <w:bookmarkEnd w:id="7"/>
      <w:bookmarkEnd w:id="8"/>
      <w:bookmarkEnd w:id="9"/>
      <w:bookmarkEnd w:id="10"/>
    </w:p>
    <w:p w14:paraId="3B618FD5" w14:textId="1D75EEEB" w:rsidR="004A37D3" w:rsidRPr="004A37D3" w:rsidRDefault="004A37D3" w:rsidP="004A37D3">
      <w:pPr>
        <w:spacing w:before="120" w:after="120" w:line="264" w:lineRule="auto"/>
        <w:rPr>
          <w:rFonts w:eastAsia="Times New Roman" w:cs="Times New Roman"/>
          <w:szCs w:val="24"/>
          <w:lang w:eastAsia="en-AU"/>
        </w:rPr>
      </w:pPr>
      <w:r w:rsidRPr="004A37D3">
        <w:rPr>
          <w:rFonts w:eastAsia="Times New Roman" w:cs="Times New Roman"/>
          <w:szCs w:val="24"/>
          <w:lang w:eastAsia="en-AU"/>
        </w:rPr>
        <w:t xml:space="preserve">Aboriginal and Torres Strait Islander people experience greater health disadvantage than non-Indigenous </w:t>
      </w:r>
      <w:r w:rsidR="00F02DD8">
        <w:rPr>
          <w:rFonts w:eastAsia="Times New Roman" w:cs="Times New Roman"/>
          <w:szCs w:val="24"/>
          <w:lang w:eastAsia="en-AU"/>
        </w:rPr>
        <w:t>people</w:t>
      </w:r>
      <w:r w:rsidRPr="004A37D3">
        <w:rPr>
          <w:rFonts w:eastAsia="Times New Roman" w:cs="Times New Roman"/>
          <w:szCs w:val="24"/>
          <w:lang w:eastAsia="en-AU"/>
        </w:rPr>
        <w:t>. Investment in Aboriginal and Torres Strait Islander health does not match greater health needs.</w:t>
      </w:r>
    </w:p>
    <w:p w14:paraId="75FFADCF" w14:textId="235334B7" w:rsidR="004A37D3" w:rsidRPr="004A37D3" w:rsidRDefault="004A37D3" w:rsidP="004A37D3">
      <w:pPr>
        <w:spacing w:before="120" w:after="120" w:line="264" w:lineRule="auto"/>
        <w:rPr>
          <w:rFonts w:eastAsia="Times New Roman" w:cs="Times New Roman"/>
          <w:szCs w:val="24"/>
          <w:lang w:eastAsia="en-AU"/>
        </w:rPr>
      </w:pPr>
      <w:r w:rsidRPr="004A37D3">
        <w:rPr>
          <w:rFonts w:eastAsia="Times New Roman" w:cs="Times New Roman"/>
          <w:szCs w:val="24"/>
          <w:lang w:eastAsia="en-AU"/>
        </w:rPr>
        <w:t>There is a strong relationship between health outcomes and living and working conditions. For Aboriginal and Torres Strait Islander people, health outcomes are negatively impacted by differences in social determinants.</w:t>
      </w:r>
    </w:p>
    <w:p w14:paraId="6CBBE092" w14:textId="532131F8" w:rsidR="004A37D3" w:rsidRPr="004A37D3" w:rsidRDefault="00F02DD8" w:rsidP="004A37D3">
      <w:pPr>
        <w:keepNext/>
        <w:keepLines/>
        <w:spacing w:before="240" w:after="120"/>
        <w:outlineLvl w:val="1"/>
        <w:rPr>
          <w:rFonts w:asciiTheme="majorHAnsi" w:eastAsia="Times New Roman" w:hAnsiTheme="majorHAnsi" w:cs="Arial"/>
          <w:bCs/>
          <w:iCs/>
          <w:color w:val="004B8D" w:themeColor="accent1"/>
          <w:sz w:val="28"/>
          <w:szCs w:val="28"/>
          <w:lang w:eastAsia="en-AU"/>
        </w:rPr>
      </w:pPr>
      <w:bookmarkStart w:id="11" w:name="_Toc509326295"/>
      <w:bookmarkStart w:id="12" w:name="_Toc509329928"/>
      <w:bookmarkStart w:id="13" w:name="_Toc509417402"/>
      <w:bookmarkStart w:id="14" w:name="_Toc511217265"/>
      <w:r>
        <w:rPr>
          <w:rFonts w:asciiTheme="majorHAnsi" w:eastAsia="Times New Roman" w:hAnsiTheme="majorHAnsi" w:cs="Arial"/>
          <w:bCs/>
          <w:iCs/>
          <w:color w:val="004B8D" w:themeColor="accent1"/>
          <w:sz w:val="28"/>
          <w:szCs w:val="28"/>
          <w:lang w:eastAsia="en-AU"/>
        </w:rPr>
        <w:t xml:space="preserve">Collaboration between </w:t>
      </w:r>
      <w:r w:rsidR="004A37D3" w:rsidRPr="004A37D3">
        <w:rPr>
          <w:rFonts w:asciiTheme="majorHAnsi" w:eastAsia="Times New Roman" w:hAnsiTheme="majorHAnsi" w:cs="Arial"/>
          <w:bCs/>
          <w:iCs/>
          <w:color w:val="004B8D" w:themeColor="accent1"/>
          <w:sz w:val="28"/>
          <w:szCs w:val="28"/>
          <w:lang w:eastAsia="en-AU"/>
        </w:rPr>
        <w:t>Aboriginal and Torres Strait Islander People,</w:t>
      </w:r>
      <w:r w:rsidR="00EC15D3">
        <w:rPr>
          <w:rFonts w:asciiTheme="majorHAnsi" w:eastAsia="Times New Roman" w:hAnsiTheme="majorHAnsi" w:cs="Arial"/>
          <w:bCs/>
          <w:iCs/>
          <w:color w:val="004B8D" w:themeColor="accent1"/>
          <w:sz w:val="28"/>
          <w:szCs w:val="28"/>
          <w:lang w:eastAsia="en-AU"/>
        </w:rPr>
        <w:t xml:space="preserve"> community-led organisations,</w:t>
      </w:r>
      <w:r>
        <w:rPr>
          <w:rFonts w:asciiTheme="majorHAnsi" w:eastAsia="Times New Roman" w:hAnsiTheme="majorHAnsi" w:cs="Arial"/>
          <w:bCs/>
          <w:iCs/>
          <w:color w:val="004B8D" w:themeColor="accent1"/>
          <w:sz w:val="28"/>
          <w:szCs w:val="28"/>
          <w:lang w:eastAsia="en-AU"/>
        </w:rPr>
        <w:t xml:space="preserve"> government</w:t>
      </w:r>
      <w:r w:rsidR="00EC15D3">
        <w:rPr>
          <w:rFonts w:asciiTheme="majorHAnsi" w:eastAsia="Times New Roman" w:hAnsiTheme="majorHAnsi" w:cs="Arial"/>
          <w:bCs/>
          <w:iCs/>
          <w:color w:val="004B8D" w:themeColor="accent1"/>
          <w:sz w:val="28"/>
          <w:szCs w:val="28"/>
          <w:lang w:eastAsia="en-AU"/>
        </w:rPr>
        <w:t xml:space="preserve"> and business</w:t>
      </w:r>
      <w:bookmarkEnd w:id="11"/>
      <w:bookmarkEnd w:id="12"/>
      <w:bookmarkEnd w:id="13"/>
      <w:bookmarkEnd w:id="14"/>
    </w:p>
    <w:p w14:paraId="585B35A6" w14:textId="5E87E084" w:rsidR="004A37D3" w:rsidRPr="004A37D3" w:rsidRDefault="004A37D3" w:rsidP="004A37D3">
      <w:pPr>
        <w:spacing w:before="120" w:after="120" w:line="264" w:lineRule="auto"/>
        <w:rPr>
          <w:rFonts w:eastAsia="Times New Roman" w:cs="Times New Roman"/>
          <w:szCs w:val="24"/>
          <w:lang w:eastAsia="en-AU"/>
        </w:rPr>
      </w:pPr>
      <w:r w:rsidRPr="004A37D3">
        <w:rPr>
          <w:rFonts w:eastAsia="Times New Roman" w:cs="Times New Roman"/>
          <w:szCs w:val="24"/>
          <w:lang w:eastAsia="en-AU"/>
        </w:rPr>
        <w:t>Aboriginal and Torres Strait Islander community-led organisations must be at the forefront of health planning through co-design. The voices of Aboriginal and Torres Strait Islander people must be elevated to promote self-determination.</w:t>
      </w:r>
    </w:p>
    <w:p w14:paraId="53120140" w14:textId="5163071A" w:rsidR="004A37D3" w:rsidRPr="00F02DD8" w:rsidRDefault="004A37D3" w:rsidP="00F02DD8">
      <w:pPr>
        <w:spacing w:before="120" w:after="120" w:line="264" w:lineRule="auto"/>
        <w:rPr>
          <w:rFonts w:eastAsia="Times New Roman" w:cs="Times New Roman"/>
          <w:szCs w:val="24"/>
          <w:lang w:eastAsia="en-AU"/>
        </w:rPr>
      </w:pPr>
      <w:r w:rsidRPr="004A37D3">
        <w:rPr>
          <w:rFonts w:eastAsia="Times New Roman" w:cs="Times New Roman"/>
          <w:szCs w:val="24"/>
          <w:lang w:eastAsia="en-AU"/>
        </w:rPr>
        <w:t>Political cycles and short-term funding models inhibit the growth of effective work in Aboriginal and Torres Strait Islander communities.</w:t>
      </w:r>
    </w:p>
    <w:p w14:paraId="4148E5E7" w14:textId="2121DE0F" w:rsidR="004A37D3" w:rsidRPr="004A37D3" w:rsidRDefault="00F02DD8" w:rsidP="004A37D3">
      <w:pPr>
        <w:keepNext/>
        <w:keepLines/>
        <w:spacing w:before="240" w:after="120"/>
        <w:outlineLvl w:val="1"/>
        <w:rPr>
          <w:rFonts w:asciiTheme="majorHAnsi" w:eastAsia="Times New Roman" w:hAnsiTheme="majorHAnsi" w:cs="Arial"/>
          <w:bCs/>
          <w:iCs/>
          <w:color w:val="004B8D" w:themeColor="accent1"/>
          <w:sz w:val="28"/>
          <w:szCs w:val="28"/>
          <w:lang w:eastAsia="en-AU"/>
        </w:rPr>
      </w:pPr>
      <w:bookmarkStart w:id="15" w:name="_Toc509326296"/>
      <w:bookmarkStart w:id="16" w:name="_Toc509329929"/>
      <w:bookmarkStart w:id="17" w:name="_Toc509417403"/>
      <w:bookmarkStart w:id="18" w:name="_Toc511217266"/>
      <w:r>
        <w:rPr>
          <w:rFonts w:asciiTheme="majorHAnsi" w:eastAsia="Times New Roman" w:hAnsiTheme="majorHAnsi" w:cs="Arial"/>
          <w:bCs/>
          <w:iCs/>
          <w:color w:val="004B8D" w:themeColor="accent1"/>
          <w:sz w:val="28"/>
          <w:szCs w:val="28"/>
          <w:lang w:eastAsia="en-AU"/>
        </w:rPr>
        <w:t>Measuring targets</w:t>
      </w:r>
      <w:bookmarkEnd w:id="15"/>
      <w:bookmarkEnd w:id="16"/>
      <w:bookmarkEnd w:id="17"/>
      <w:bookmarkEnd w:id="18"/>
    </w:p>
    <w:p w14:paraId="729EABD5" w14:textId="13C93783" w:rsidR="004A37D3" w:rsidRPr="004A37D3" w:rsidRDefault="00EC15D3" w:rsidP="004A37D3">
      <w:pPr>
        <w:spacing w:before="120" w:after="120" w:line="264" w:lineRule="auto"/>
        <w:rPr>
          <w:rFonts w:eastAsia="Times New Roman" w:cs="Times New Roman"/>
          <w:szCs w:val="24"/>
          <w:lang w:eastAsia="en-AU"/>
        </w:rPr>
      </w:pPr>
      <w:r>
        <w:rPr>
          <w:rFonts w:eastAsia="Times New Roman" w:cs="Times New Roman"/>
          <w:szCs w:val="24"/>
          <w:lang w:eastAsia="en-AU"/>
        </w:rPr>
        <w:t>E</w:t>
      </w:r>
      <w:r w:rsidR="004A37D3" w:rsidRPr="004A37D3">
        <w:rPr>
          <w:rFonts w:eastAsia="Times New Roman" w:cs="Times New Roman"/>
          <w:szCs w:val="24"/>
          <w:lang w:eastAsia="en-AU"/>
        </w:rPr>
        <w:t>xpenditure o</w:t>
      </w:r>
      <w:r w:rsidR="00F02DD8">
        <w:rPr>
          <w:rFonts w:eastAsia="Times New Roman" w:cs="Times New Roman"/>
          <w:szCs w:val="24"/>
          <w:lang w:eastAsia="en-AU"/>
        </w:rPr>
        <w:t>n</w:t>
      </w:r>
      <w:r w:rsidR="004A37D3" w:rsidRPr="004A37D3">
        <w:rPr>
          <w:rFonts w:eastAsia="Times New Roman" w:cs="Times New Roman"/>
          <w:szCs w:val="24"/>
          <w:lang w:eastAsia="en-AU"/>
        </w:rPr>
        <w:t xml:space="preserve"> primary health services and investment in the health workf</w:t>
      </w:r>
      <w:r w:rsidR="00F02DD8">
        <w:rPr>
          <w:rFonts w:eastAsia="Times New Roman" w:cs="Times New Roman"/>
          <w:szCs w:val="24"/>
          <w:lang w:eastAsia="en-AU"/>
        </w:rPr>
        <w:t>orce</w:t>
      </w:r>
      <w:r w:rsidR="004A37D3" w:rsidRPr="004A37D3">
        <w:rPr>
          <w:rFonts w:eastAsia="Times New Roman" w:cs="Times New Roman"/>
          <w:szCs w:val="24"/>
          <w:lang w:eastAsia="en-AU"/>
        </w:rPr>
        <w:t xml:space="preserve"> and health enabling infrastructure should </w:t>
      </w:r>
      <w:r>
        <w:rPr>
          <w:rFonts w:eastAsia="Times New Roman" w:cs="Times New Roman"/>
          <w:szCs w:val="24"/>
          <w:lang w:eastAsia="en-AU"/>
        </w:rPr>
        <w:t>be measured, alongside less tangible measures l</w:t>
      </w:r>
      <w:r w:rsidR="004A37D3" w:rsidRPr="004A37D3">
        <w:rPr>
          <w:rFonts w:eastAsia="Times New Roman" w:cs="Times New Roman"/>
          <w:szCs w:val="24"/>
          <w:lang w:eastAsia="en-AU"/>
        </w:rPr>
        <w:t>ike institutional racism</w:t>
      </w:r>
      <w:r w:rsidR="009E361A">
        <w:rPr>
          <w:rFonts w:eastAsia="Times New Roman" w:cs="Times New Roman"/>
          <w:szCs w:val="24"/>
          <w:lang w:eastAsia="en-AU"/>
        </w:rPr>
        <w:t>, “felt”</w:t>
      </w:r>
      <w:r w:rsidR="004A37D3" w:rsidRPr="004A37D3">
        <w:rPr>
          <w:rFonts w:eastAsia="Times New Roman" w:cs="Times New Roman"/>
          <w:szCs w:val="24"/>
          <w:lang w:eastAsia="en-AU"/>
        </w:rPr>
        <w:t xml:space="preserve"> safety </w:t>
      </w:r>
      <w:r w:rsidR="009E361A">
        <w:rPr>
          <w:rFonts w:eastAsia="Times New Roman" w:cs="Times New Roman"/>
          <w:szCs w:val="24"/>
          <w:lang w:eastAsia="en-AU"/>
        </w:rPr>
        <w:t xml:space="preserve">or cultural safety </w:t>
      </w:r>
      <w:r w:rsidR="004A37D3" w:rsidRPr="004A37D3">
        <w:rPr>
          <w:rFonts w:eastAsia="Times New Roman" w:cs="Times New Roman"/>
          <w:szCs w:val="24"/>
          <w:lang w:eastAsia="en-AU"/>
        </w:rPr>
        <w:t>when accessing a service.</w:t>
      </w:r>
    </w:p>
    <w:p w14:paraId="592D55B6" w14:textId="248403EA" w:rsidR="004A37D3" w:rsidRPr="004A37D3" w:rsidRDefault="004A37D3" w:rsidP="004A37D3">
      <w:pPr>
        <w:spacing w:before="120" w:after="120" w:line="264" w:lineRule="auto"/>
        <w:rPr>
          <w:rFonts w:eastAsia="Times New Roman" w:cs="Times New Roman"/>
          <w:szCs w:val="24"/>
          <w:lang w:eastAsia="en-AU"/>
        </w:rPr>
      </w:pPr>
      <w:r w:rsidRPr="004A37D3">
        <w:rPr>
          <w:rFonts w:eastAsia="Times New Roman" w:cs="Times New Roman"/>
          <w:szCs w:val="24"/>
          <w:lang w:eastAsia="en-AU"/>
        </w:rPr>
        <w:t>There are a number of tangible indicators related to eye health and vision care that can be adopted in the Clos</w:t>
      </w:r>
      <w:r w:rsidR="00434395">
        <w:rPr>
          <w:rFonts w:eastAsia="Times New Roman" w:cs="Times New Roman"/>
          <w:szCs w:val="24"/>
          <w:lang w:eastAsia="en-AU"/>
        </w:rPr>
        <w:t>ing</w:t>
      </w:r>
      <w:r w:rsidRPr="004A37D3">
        <w:rPr>
          <w:rFonts w:eastAsia="Times New Roman" w:cs="Times New Roman"/>
          <w:szCs w:val="24"/>
          <w:lang w:eastAsia="en-AU"/>
        </w:rPr>
        <w:t xml:space="preserve"> the Gap refresh. These are in the Roadmap to Close the Gap for Vision and include an increase in the number of adult health checks and retinal examinations for Aboriginal and Torres Strait Islander people with diabetes, </w:t>
      </w:r>
      <w:r w:rsidR="008B19AE">
        <w:rPr>
          <w:rFonts w:eastAsia="Times New Roman" w:cs="Times New Roman"/>
          <w:szCs w:val="24"/>
          <w:lang w:eastAsia="en-AU"/>
        </w:rPr>
        <w:t xml:space="preserve">cataract surgery, </w:t>
      </w:r>
      <w:r w:rsidRPr="004A37D3">
        <w:rPr>
          <w:rFonts w:eastAsia="Times New Roman" w:cs="Times New Roman"/>
          <w:szCs w:val="24"/>
          <w:lang w:eastAsia="en-AU"/>
        </w:rPr>
        <w:t>visiting specialist days, treatment for trachoma and diabetic retinopathy and access to subsidised spectacles.</w:t>
      </w:r>
    </w:p>
    <w:p w14:paraId="3B3E05AD" w14:textId="7C4CDEA1" w:rsidR="004A37D3" w:rsidRPr="004A37D3" w:rsidRDefault="004A37D3" w:rsidP="004A37D3">
      <w:pPr>
        <w:keepNext/>
        <w:keepLines/>
        <w:spacing w:before="240" w:after="120"/>
        <w:outlineLvl w:val="1"/>
        <w:rPr>
          <w:rFonts w:asciiTheme="majorHAnsi" w:eastAsia="Times New Roman" w:hAnsiTheme="majorHAnsi" w:cs="Arial"/>
          <w:bCs/>
          <w:iCs/>
          <w:color w:val="004B8D" w:themeColor="accent1"/>
          <w:sz w:val="28"/>
          <w:szCs w:val="28"/>
          <w:lang w:eastAsia="en-AU"/>
        </w:rPr>
      </w:pPr>
      <w:bookmarkStart w:id="19" w:name="_Toc509326297"/>
      <w:bookmarkStart w:id="20" w:name="_Toc509329930"/>
      <w:bookmarkStart w:id="21" w:name="_Toc509417404"/>
      <w:bookmarkStart w:id="22" w:name="_Toc511217267"/>
      <w:r w:rsidRPr="004A37D3">
        <w:rPr>
          <w:rFonts w:asciiTheme="majorHAnsi" w:eastAsia="Times New Roman" w:hAnsiTheme="majorHAnsi" w:cs="Arial"/>
          <w:bCs/>
          <w:iCs/>
          <w:color w:val="004B8D" w:themeColor="accent1"/>
          <w:sz w:val="28"/>
          <w:szCs w:val="28"/>
          <w:lang w:eastAsia="en-AU"/>
        </w:rPr>
        <w:lastRenderedPageBreak/>
        <w:t xml:space="preserve">Aboriginal and Torres Strait Islander </w:t>
      </w:r>
      <w:r w:rsidR="00EC15D3">
        <w:rPr>
          <w:rFonts w:asciiTheme="majorHAnsi" w:eastAsia="Times New Roman" w:hAnsiTheme="majorHAnsi" w:cs="Arial"/>
          <w:bCs/>
          <w:iCs/>
          <w:color w:val="004B8D" w:themeColor="accent1"/>
          <w:sz w:val="28"/>
          <w:szCs w:val="28"/>
          <w:lang w:eastAsia="en-AU"/>
        </w:rPr>
        <w:t>people with disability</w:t>
      </w:r>
      <w:bookmarkEnd w:id="19"/>
      <w:bookmarkEnd w:id="20"/>
      <w:bookmarkEnd w:id="21"/>
      <w:bookmarkEnd w:id="22"/>
    </w:p>
    <w:p w14:paraId="556CA087" w14:textId="2FEABFE1" w:rsidR="004A37D3" w:rsidRPr="00150A49" w:rsidRDefault="004A37D3" w:rsidP="004A37D3">
      <w:pPr>
        <w:spacing w:before="120" w:after="120" w:line="264" w:lineRule="auto"/>
        <w:rPr>
          <w:rFonts w:eastAsia="Times New Roman" w:cs="Times New Roman"/>
          <w:szCs w:val="24"/>
          <w:lang w:eastAsia="en-AU"/>
        </w:rPr>
      </w:pPr>
      <w:r w:rsidRPr="004A37D3">
        <w:rPr>
          <w:rFonts w:eastAsia="Times New Roman" w:cs="Times New Roman"/>
          <w:szCs w:val="24"/>
          <w:lang w:eastAsia="en-AU"/>
        </w:rPr>
        <w:t>Aboriginal and Torres Strait Islander people with disability experience higher levels of disadvantage. The Clos</w:t>
      </w:r>
      <w:r w:rsidR="00434395">
        <w:rPr>
          <w:rFonts w:eastAsia="Times New Roman" w:cs="Times New Roman"/>
          <w:szCs w:val="24"/>
          <w:lang w:eastAsia="en-AU"/>
        </w:rPr>
        <w:t>ing</w:t>
      </w:r>
      <w:r w:rsidRPr="004A37D3">
        <w:rPr>
          <w:rFonts w:eastAsia="Times New Roman" w:cs="Times New Roman"/>
          <w:szCs w:val="24"/>
          <w:lang w:eastAsia="en-AU"/>
        </w:rPr>
        <w:t xml:space="preserve"> the Gap refresh must acknowledge the intersectional experience for Aboriginal and Torres Strait Islander people who are blind or have low vision, and the impact of </w:t>
      </w:r>
      <w:r w:rsidRPr="00150A49">
        <w:rPr>
          <w:rFonts w:eastAsia="Times New Roman" w:cs="Times New Roman"/>
          <w:szCs w:val="24"/>
          <w:lang w:eastAsia="en-AU"/>
        </w:rPr>
        <w:t xml:space="preserve">additional barriers. </w:t>
      </w:r>
    </w:p>
    <w:p w14:paraId="43573D59" w14:textId="341B775A" w:rsidR="004A37D3" w:rsidRPr="004A37D3" w:rsidRDefault="00150A49" w:rsidP="004A37D3">
      <w:pPr>
        <w:spacing w:before="120" w:after="120" w:line="264" w:lineRule="auto"/>
        <w:rPr>
          <w:rFonts w:eastAsia="Times New Roman" w:cs="Times New Roman"/>
          <w:szCs w:val="24"/>
          <w:lang w:eastAsia="en-AU"/>
        </w:rPr>
      </w:pPr>
      <w:r>
        <w:rPr>
          <w:rFonts w:eastAsia="Times New Roman" w:cs="Times New Roman"/>
          <w:szCs w:val="24"/>
          <w:lang w:eastAsia="en-AU"/>
        </w:rPr>
        <w:t>H</w:t>
      </w:r>
      <w:r w:rsidR="004A37D3" w:rsidRPr="00150A49">
        <w:rPr>
          <w:rFonts w:eastAsia="Times New Roman" w:cs="Times New Roman"/>
          <w:szCs w:val="24"/>
          <w:lang w:eastAsia="en-AU"/>
        </w:rPr>
        <w:t xml:space="preserve">ealth </w:t>
      </w:r>
      <w:r>
        <w:rPr>
          <w:rFonts w:eastAsia="Times New Roman" w:cs="Times New Roman"/>
          <w:szCs w:val="24"/>
          <w:lang w:eastAsia="en-AU"/>
        </w:rPr>
        <w:t xml:space="preserve">can be </w:t>
      </w:r>
      <w:r w:rsidR="004A37D3" w:rsidRPr="00150A49">
        <w:rPr>
          <w:rFonts w:eastAsia="Times New Roman" w:cs="Times New Roman"/>
          <w:szCs w:val="24"/>
          <w:lang w:eastAsia="en-AU"/>
        </w:rPr>
        <w:t xml:space="preserve">impacted by connection and access to </w:t>
      </w:r>
      <w:r w:rsidR="008B19AE" w:rsidRPr="00150A49">
        <w:rPr>
          <w:rFonts w:eastAsia="Times New Roman" w:cs="Times New Roman"/>
          <w:szCs w:val="24"/>
          <w:lang w:eastAsia="en-AU"/>
        </w:rPr>
        <w:t xml:space="preserve">culture, </w:t>
      </w:r>
      <w:r w:rsidR="004A37D3" w:rsidRPr="00150A49">
        <w:rPr>
          <w:rFonts w:eastAsia="Times New Roman" w:cs="Times New Roman"/>
          <w:szCs w:val="24"/>
          <w:lang w:eastAsia="en-AU"/>
        </w:rPr>
        <w:t>traditional lands</w:t>
      </w:r>
      <w:r w:rsidR="008B19AE" w:rsidRPr="00150A49">
        <w:rPr>
          <w:rFonts w:eastAsia="Times New Roman" w:cs="Times New Roman"/>
          <w:szCs w:val="24"/>
          <w:lang w:eastAsia="en-AU"/>
        </w:rPr>
        <w:t xml:space="preserve"> </w:t>
      </w:r>
      <w:r w:rsidR="004A37D3" w:rsidRPr="00150A49">
        <w:rPr>
          <w:rFonts w:eastAsia="Times New Roman" w:cs="Times New Roman"/>
          <w:szCs w:val="24"/>
          <w:lang w:eastAsia="en-AU"/>
        </w:rPr>
        <w:t>and spiritual practice.</w:t>
      </w:r>
    </w:p>
    <w:p w14:paraId="552877A5" w14:textId="77777777" w:rsidR="008A59B7" w:rsidRDefault="008A59B7" w:rsidP="004A37D3">
      <w:pPr>
        <w:keepNext/>
        <w:keepLines/>
        <w:widowControl w:val="0"/>
        <w:spacing w:before="320" w:after="180"/>
        <w:outlineLvl w:val="0"/>
        <w:rPr>
          <w:rFonts w:asciiTheme="majorHAnsi" w:eastAsia="Times New Roman" w:hAnsiTheme="majorHAnsi" w:cs="Arial"/>
          <w:bCs/>
          <w:color w:val="004B8D" w:themeColor="accent1"/>
          <w:kern w:val="32"/>
          <w:sz w:val="36"/>
          <w:szCs w:val="32"/>
          <w:lang w:eastAsia="en-AU"/>
        </w:rPr>
      </w:pPr>
    </w:p>
    <w:p w14:paraId="7FE1A3C4" w14:textId="0CE8AC59" w:rsidR="004A37D3" w:rsidRPr="004A37D3" w:rsidRDefault="004A37D3" w:rsidP="004A37D3">
      <w:pPr>
        <w:keepNext/>
        <w:keepLines/>
        <w:widowControl w:val="0"/>
        <w:spacing w:before="320" w:after="180"/>
        <w:outlineLvl w:val="0"/>
        <w:rPr>
          <w:rFonts w:asciiTheme="majorHAnsi" w:eastAsia="Times New Roman" w:hAnsiTheme="majorHAnsi" w:cs="Arial"/>
          <w:bCs/>
          <w:color w:val="004B8D" w:themeColor="accent1"/>
          <w:kern w:val="32"/>
          <w:sz w:val="36"/>
          <w:szCs w:val="32"/>
          <w:lang w:eastAsia="en-AU"/>
        </w:rPr>
      </w:pPr>
      <w:bookmarkStart w:id="23" w:name="_Toc511217268"/>
      <w:r w:rsidRPr="004A37D3">
        <w:rPr>
          <w:rFonts w:asciiTheme="majorHAnsi" w:eastAsia="Times New Roman" w:hAnsiTheme="majorHAnsi" w:cs="Arial"/>
          <w:bCs/>
          <w:color w:val="004B8D" w:themeColor="accent1"/>
          <w:kern w:val="32"/>
          <w:sz w:val="36"/>
          <w:szCs w:val="32"/>
          <w:lang w:eastAsia="en-AU"/>
        </w:rPr>
        <w:t>Recommendations</w:t>
      </w:r>
      <w:bookmarkEnd w:id="23"/>
    </w:p>
    <w:p w14:paraId="32760A96" w14:textId="518052D6" w:rsidR="00691003" w:rsidRDefault="00691003" w:rsidP="00691003">
      <w:pPr>
        <w:pStyle w:val="ListParagraph0"/>
        <w:numPr>
          <w:ilvl w:val="0"/>
          <w:numId w:val="26"/>
        </w:numPr>
      </w:pPr>
      <w:r w:rsidRPr="001370F7">
        <w:t>Ensure the refreshed Closing the Gap strategy addresses the social determinant</w:t>
      </w:r>
      <w:r>
        <w:t>s of health</w:t>
      </w:r>
      <w:r w:rsidR="00434395">
        <w:t xml:space="preserve">, in particular those that </w:t>
      </w:r>
      <w:r w:rsidR="00434395" w:rsidRPr="001370F7">
        <w:t>impact on eye health and vision care in Aboriginal and Torres Strait Islander communities</w:t>
      </w:r>
      <w:r>
        <w:t>.</w:t>
      </w:r>
    </w:p>
    <w:p w14:paraId="5E1525C9" w14:textId="6FCCA3BE" w:rsidR="004A37D3" w:rsidRPr="004A37D3" w:rsidRDefault="004A37D3" w:rsidP="004A37D3">
      <w:pPr>
        <w:numPr>
          <w:ilvl w:val="0"/>
          <w:numId w:val="26"/>
        </w:numPr>
        <w:spacing w:before="120" w:after="120" w:line="264" w:lineRule="auto"/>
        <w:rPr>
          <w:rFonts w:eastAsia="Times New Roman" w:cs="Times New Roman"/>
          <w:szCs w:val="24"/>
          <w:lang w:eastAsia="en-AU"/>
        </w:rPr>
      </w:pPr>
      <w:r w:rsidRPr="004A37D3">
        <w:rPr>
          <w:rFonts w:eastAsia="Times New Roman" w:cs="Times New Roman"/>
          <w:szCs w:val="24"/>
          <w:lang w:eastAsia="en-AU"/>
        </w:rPr>
        <w:t>Ensure Aboriginal and Torres Strait Islander people and organisations lead the design of the refreshed Clos</w:t>
      </w:r>
      <w:r w:rsidR="00434395">
        <w:rPr>
          <w:rFonts w:eastAsia="Times New Roman" w:cs="Times New Roman"/>
          <w:szCs w:val="24"/>
          <w:lang w:eastAsia="en-AU"/>
        </w:rPr>
        <w:t>ing</w:t>
      </w:r>
      <w:r w:rsidRPr="004A37D3">
        <w:rPr>
          <w:rFonts w:eastAsia="Times New Roman" w:cs="Times New Roman"/>
          <w:szCs w:val="24"/>
          <w:lang w:eastAsia="en-AU"/>
        </w:rPr>
        <w:t xml:space="preserve"> the Gap strategy.</w:t>
      </w:r>
    </w:p>
    <w:p w14:paraId="72BB351D" w14:textId="19C32A4A" w:rsidR="004A37D3" w:rsidRPr="004A37D3" w:rsidRDefault="004A37D3" w:rsidP="004A37D3">
      <w:pPr>
        <w:numPr>
          <w:ilvl w:val="0"/>
          <w:numId w:val="26"/>
        </w:numPr>
        <w:spacing w:before="120" w:after="120" w:line="264" w:lineRule="auto"/>
        <w:rPr>
          <w:rFonts w:eastAsia="Times New Roman" w:cs="Times New Roman"/>
          <w:szCs w:val="24"/>
          <w:lang w:eastAsia="en-AU"/>
        </w:rPr>
      </w:pPr>
      <w:r w:rsidRPr="004A37D3">
        <w:rPr>
          <w:rFonts w:eastAsia="Times New Roman" w:cs="Times New Roman"/>
          <w:szCs w:val="24"/>
          <w:lang w:eastAsia="en-AU"/>
        </w:rPr>
        <w:t xml:space="preserve">Commit to long term funding based on the needs of communities, rather than political </w:t>
      </w:r>
      <w:r w:rsidR="00434395">
        <w:rPr>
          <w:rFonts w:eastAsia="Times New Roman" w:cs="Times New Roman"/>
          <w:szCs w:val="24"/>
          <w:lang w:eastAsia="en-AU"/>
        </w:rPr>
        <w:t>cycles</w:t>
      </w:r>
      <w:r w:rsidRPr="004A37D3">
        <w:rPr>
          <w:rFonts w:eastAsia="Times New Roman" w:cs="Times New Roman"/>
          <w:szCs w:val="24"/>
          <w:lang w:eastAsia="en-AU"/>
        </w:rPr>
        <w:t>.</w:t>
      </w:r>
    </w:p>
    <w:p w14:paraId="12F19326" w14:textId="77777777" w:rsidR="004A37D3" w:rsidRPr="004A37D3" w:rsidRDefault="004A37D3" w:rsidP="004A37D3">
      <w:pPr>
        <w:numPr>
          <w:ilvl w:val="0"/>
          <w:numId w:val="26"/>
        </w:numPr>
        <w:spacing w:before="120" w:after="120" w:line="264" w:lineRule="auto"/>
        <w:rPr>
          <w:rFonts w:eastAsia="Times New Roman" w:cs="Times New Roman"/>
          <w:szCs w:val="24"/>
          <w:lang w:eastAsia="en-AU"/>
        </w:rPr>
      </w:pPr>
      <w:r w:rsidRPr="004A37D3">
        <w:rPr>
          <w:rFonts w:eastAsia="Times New Roman" w:cs="Times New Roman"/>
          <w:szCs w:val="24"/>
          <w:lang w:eastAsia="en-AU"/>
        </w:rPr>
        <w:t xml:space="preserve">Work towards establishing unified Commonwealth, state and territory approaches to Aboriginal and Torres Strait Islander eye health. </w:t>
      </w:r>
    </w:p>
    <w:p w14:paraId="285B77F2" w14:textId="455193BC" w:rsidR="000834B4" w:rsidRDefault="000834B4" w:rsidP="000834B4">
      <w:pPr>
        <w:pStyle w:val="ListParagraph0"/>
        <w:numPr>
          <w:ilvl w:val="0"/>
          <w:numId w:val="26"/>
        </w:numPr>
      </w:pPr>
      <w:r>
        <w:t xml:space="preserve">Measure inputs </w:t>
      </w:r>
      <w:r w:rsidR="008B19AE">
        <w:t xml:space="preserve">to Aboriginal and Torres Strait Islander health </w:t>
      </w:r>
      <w:r>
        <w:t>as well as outputs and outcome</w:t>
      </w:r>
      <w:r w:rsidR="008B19AE">
        <w:t>s.</w:t>
      </w:r>
    </w:p>
    <w:p w14:paraId="58155814" w14:textId="54C5271B" w:rsidR="000834B4" w:rsidRDefault="000834B4" w:rsidP="000834B4">
      <w:pPr>
        <w:pStyle w:val="ListParagraph0"/>
        <w:numPr>
          <w:ilvl w:val="0"/>
          <w:numId w:val="26"/>
        </w:numPr>
      </w:pPr>
      <w:r>
        <w:t xml:space="preserve">Develop mechanisms for </w:t>
      </w:r>
      <w:r w:rsidR="00434395">
        <w:t xml:space="preserve">identifying and </w:t>
      </w:r>
      <w:r>
        <w:t xml:space="preserve">measuring barriers </w:t>
      </w:r>
      <w:r w:rsidR="008B19AE">
        <w:t>to</w:t>
      </w:r>
      <w:r w:rsidR="00434395">
        <w:t xml:space="preserve"> </w:t>
      </w:r>
      <w:r>
        <w:t>Aboriginal and Torres Strait Islander access to eye health services.</w:t>
      </w:r>
    </w:p>
    <w:p w14:paraId="58A6C4C9" w14:textId="2375C384" w:rsidR="004A37D3" w:rsidRPr="000834B4" w:rsidRDefault="000834B4" w:rsidP="000834B4">
      <w:pPr>
        <w:pStyle w:val="ListParagraph0"/>
        <w:numPr>
          <w:ilvl w:val="0"/>
          <w:numId w:val="26"/>
        </w:numPr>
      </w:pPr>
      <w:r>
        <w:t>Develop mechanisms to define and monitor improvements in access to eye health services.</w:t>
      </w:r>
    </w:p>
    <w:p w14:paraId="775B3175" w14:textId="77777777" w:rsidR="00A7409C" w:rsidRPr="00A7409C" w:rsidRDefault="00A7409C" w:rsidP="00A7409C">
      <w:pPr>
        <w:numPr>
          <w:ilvl w:val="0"/>
          <w:numId w:val="26"/>
        </w:numPr>
        <w:spacing w:before="120" w:after="120" w:line="264" w:lineRule="auto"/>
        <w:rPr>
          <w:rFonts w:eastAsia="Times New Roman" w:cs="Times New Roman"/>
          <w:szCs w:val="24"/>
          <w:lang w:eastAsia="en-AU"/>
        </w:rPr>
      </w:pPr>
      <w:r w:rsidRPr="00A7409C">
        <w:rPr>
          <w:rFonts w:eastAsia="Times New Roman" w:cs="Times New Roman"/>
          <w:szCs w:val="24"/>
          <w:lang w:eastAsia="en-AU"/>
        </w:rPr>
        <w:t>Consider the indicators for Aboriginal and Torres Strait Islander eye health and vision care as detailed in the Roadmap to Close the Gap for Vision 2017 in the refreshed Closing the Gap strategy.</w:t>
      </w:r>
    </w:p>
    <w:p w14:paraId="10D844C4" w14:textId="30650BC2" w:rsidR="004A37D3" w:rsidRPr="004A37D3" w:rsidRDefault="00A7409C" w:rsidP="00A7409C">
      <w:pPr>
        <w:numPr>
          <w:ilvl w:val="0"/>
          <w:numId w:val="26"/>
        </w:numPr>
        <w:spacing w:before="120" w:after="120" w:line="264" w:lineRule="auto"/>
        <w:rPr>
          <w:rFonts w:eastAsia="Times New Roman" w:cs="Times New Roman"/>
          <w:szCs w:val="24"/>
          <w:lang w:eastAsia="en-AU"/>
        </w:rPr>
      </w:pPr>
      <w:r w:rsidRPr="00A7409C">
        <w:rPr>
          <w:rFonts w:eastAsia="Times New Roman" w:cs="Times New Roman"/>
          <w:szCs w:val="24"/>
          <w:lang w:eastAsia="en-AU"/>
        </w:rPr>
        <w:t>Include Aboriginal and Torres Strait Islander health leadership in the development of indicators for the refreshed Closing the Gap strategy.</w:t>
      </w:r>
    </w:p>
    <w:p w14:paraId="53D2BC56" w14:textId="77777777" w:rsidR="004A37D3" w:rsidRPr="004A37D3" w:rsidRDefault="004A37D3" w:rsidP="004A37D3">
      <w:pPr>
        <w:numPr>
          <w:ilvl w:val="0"/>
          <w:numId w:val="26"/>
        </w:numPr>
        <w:spacing w:before="120" w:after="120" w:line="264" w:lineRule="auto"/>
        <w:rPr>
          <w:rFonts w:eastAsia="Times New Roman" w:cs="Times New Roman"/>
          <w:szCs w:val="24"/>
          <w:lang w:eastAsia="en-AU"/>
        </w:rPr>
      </w:pPr>
      <w:r w:rsidRPr="004A37D3">
        <w:rPr>
          <w:rFonts w:eastAsia="Times New Roman" w:cs="Times New Roman"/>
          <w:szCs w:val="24"/>
          <w:lang w:eastAsia="en-AU"/>
        </w:rPr>
        <w:t>Invest in data collection and analysis about eye health to support the refreshed Closing the Gap strategy.</w:t>
      </w:r>
    </w:p>
    <w:p w14:paraId="2ED5BB50" w14:textId="45646650" w:rsidR="004A37D3" w:rsidRPr="008B19AE" w:rsidRDefault="009E361A" w:rsidP="008B19AE">
      <w:pPr>
        <w:numPr>
          <w:ilvl w:val="0"/>
          <w:numId w:val="26"/>
        </w:numPr>
        <w:spacing w:before="120" w:after="120" w:line="264" w:lineRule="auto"/>
        <w:rPr>
          <w:rFonts w:eastAsia="Times New Roman" w:cs="Times New Roman"/>
          <w:szCs w:val="24"/>
          <w:lang w:eastAsia="en-AU"/>
        </w:rPr>
      </w:pPr>
      <w:r>
        <w:rPr>
          <w:rFonts w:eastAsia="Times New Roman" w:cs="Times New Roman"/>
          <w:szCs w:val="24"/>
          <w:lang w:eastAsia="en-AU"/>
        </w:rPr>
        <w:t xml:space="preserve">Recognise </w:t>
      </w:r>
      <w:r w:rsidR="004A37D3" w:rsidRPr="004A37D3">
        <w:rPr>
          <w:rFonts w:eastAsia="Times New Roman" w:cs="Times New Roman"/>
          <w:szCs w:val="24"/>
          <w:lang w:eastAsia="en-AU"/>
        </w:rPr>
        <w:t>the intersectional nature of disadvantage experienced by Aboriginal and Torres Strait Islander people with disability and the health impacts of disconnection from land, culture and spiritual practices</w:t>
      </w:r>
      <w:r>
        <w:rPr>
          <w:rFonts w:eastAsia="Times New Roman" w:cs="Times New Roman"/>
          <w:szCs w:val="24"/>
          <w:lang w:eastAsia="en-AU"/>
        </w:rPr>
        <w:t>, and include this in the refreshed Closing the Gap strategy</w:t>
      </w:r>
      <w:r w:rsidR="004A37D3" w:rsidRPr="004A37D3">
        <w:rPr>
          <w:rFonts w:eastAsia="Times New Roman" w:cs="Times New Roman"/>
          <w:szCs w:val="24"/>
          <w:lang w:eastAsia="en-AU"/>
        </w:rPr>
        <w:t xml:space="preserve">. </w:t>
      </w:r>
      <w:r w:rsidR="004A37D3">
        <w:br w:type="page"/>
      </w:r>
    </w:p>
    <w:p w14:paraId="62E601D1" w14:textId="373E4A90" w:rsidR="00651E92" w:rsidRPr="00EA1746" w:rsidRDefault="00651E92" w:rsidP="00F27050">
      <w:pPr>
        <w:pStyle w:val="Heading1"/>
      </w:pPr>
      <w:bookmarkStart w:id="24" w:name="_Toc511217269"/>
      <w:r w:rsidRPr="00EA1746">
        <w:lastRenderedPageBreak/>
        <w:t>Introduction</w:t>
      </w:r>
      <w:bookmarkEnd w:id="24"/>
    </w:p>
    <w:p w14:paraId="2CE0A04B" w14:textId="77777777" w:rsidR="00EA1746" w:rsidRDefault="00EA1746" w:rsidP="00F27840"/>
    <w:p w14:paraId="40723044" w14:textId="77777777" w:rsidR="00314406" w:rsidRDefault="00651E92" w:rsidP="00314406">
      <w:r>
        <w:t xml:space="preserve">Vision 2020 Australia </w:t>
      </w:r>
      <w:r w:rsidR="00471AEE">
        <w:t xml:space="preserve">(V2020A) </w:t>
      </w:r>
      <w:r w:rsidR="00314406">
        <w:t>was established in October 2000. We are part of VISION 2020: The Right to Sight, a global initiative of the World Health Organization and the International Agency for the Prevention of Blindness.</w:t>
      </w:r>
    </w:p>
    <w:p w14:paraId="77B2846E" w14:textId="77777777" w:rsidR="00314406" w:rsidRDefault="00314406" w:rsidP="00314406"/>
    <w:p w14:paraId="168F671A" w14:textId="77777777" w:rsidR="00314406" w:rsidRDefault="00314406" w:rsidP="00314406">
      <w:r>
        <w:t>As the national peak body for the eye health and vision care sector, Vision 2020 Australia’s role is to ensure that eye health and vision care remains high on the health, ageing, disability and international development agendas of Australian governments.</w:t>
      </w:r>
    </w:p>
    <w:p w14:paraId="1672FCBB" w14:textId="77777777" w:rsidR="00314406" w:rsidRDefault="00314406" w:rsidP="00314406"/>
    <w:p w14:paraId="545652D2" w14:textId="66677F77" w:rsidR="00651E92" w:rsidRDefault="00314406" w:rsidP="00314406">
      <w:r>
        <w:t>Vision 2020 Australia represents 50 member organisations involved in local and global eye health and vision care, health promotion, low vision support, vision rehabilitation, eye research, professional assistance and community support.</w:t>
      </w:r>
      <w:r w:rsidR="006B3BCF">
        <w:t xml:space="preserve"> A core V</w:t>
      </w:r>
      <w:r w:rsidR="00647B2F">
        <w:t>2020</w:t>
      </w:r>
      <w:r w:rsidR="00E07E48">
        <w:t>A</w:t>
      </w:r>
      <w:r w:rsidR="006B3BCF">
        <w:t xml:space="preserve"> priority is equitable access to quality eye health and vision care services for Aboriginal and Torres Strai</w:t>
      </w:r>
      <w:r w:rsidR="00012B4F">
        <w:t xml:space="preserve">t Islander people, who are three times more likely to </w:t>
      </w:r>
      <w:r w:rsidR="00BD59AF">
        <w:t xml:space="preserve">experience </w:t>
      </w:r>
      <w:r w:rsidR="00012B4F">
        <w:t>blindness than non-Indigenous Australians</w:t>
      </w:r>
      <w:r w:rsidR="00F327C4">
        <w:t>.</w:t>
      </w:r>
      <w:r w:rsidR="00F327C4">
        <w:rPr>
          <w:rStyle w:val="FootnoteReference"/>
        </w:rPr>
        <w:footnoteReference w:id="1"/>
      </w:r>
    </w:p>
    <w:p w14:paraId="0EB427AC" w14:textId="77777777" w:rsidR="00651E92" w:rsidRDefault="00651E92" w:rsidP="00F27840"/>
    <w:p w14:paraId="30629BBF" w14:textId="1D7F792E" w:rsidR="00651E92" w:rsidRDefault="006C716E" w:rsidP="00651E92">
      <w:r>
        <w:t xml:space="preserve">This submission was informed by V2020A’s Aboriginal and Torres Strait Islander Committee. The Committee is made up of representatives providing health services to Aboriginal and Torres Strait Islander people and </w:t>
      </w:r>
      <w:r w:rsidR="00314406">
        <w:t>professional peaks</w:t>
      </w:r>
      <w:r w:rsidR="00A47C54">
        <w:t xml:space="preserve">, </w:t>
      </w:r>
      <w:r w:rsidR="00B579ED">
        <w:t xml:space="preserve">policy </w:t>
      </w:r>
      <w:r w:rsidR="00314406">
        <w:t>expert</w:t>
      </w:r>
      <w:r w:rsidR="00B579ED">
        <w:t>s</w:t>
      </w:r>
      <w:r w:rsidR="00314406">
        <w:t xml:space="preserve"> and academics.</w:t>
      </w:r>
    </w:p>
    <w:p w14:paraId="51FDB2F2" w14:textId="77777777" w:rsidR="00314406" w:rsidRDefault="00314406" w:rsidP="00651E92"/>
    <w:p w14:paraId="156EF046" w14:textId="4572CF45" w:rsidR="006B3BCF" w:rsidRDefault="006B3BCF" w:rsidP="006B3BCF">
      <w:r>
        <w:t>Vision</w:t>
      </w:r>
      <w:r w:rsidR="00E07E48">
        <w:t xml:space="preserve"> </w:t>
      </w:r>
      <w:r>
        <w:t>2020</w:t>
      </w:r>
      <w:r w:rsidR="00E07E48">
        <w:t xml:space="preserve"> Australia</w:t>
      </w:r>
      <w:r>
        <w:t xml:space="preserve"> supports the recommendations of</w:t>
      </w:r>
      <w:r w:rsidR="00B579ED">
        <w:t xml:space="preserve"> the </w:t>
      </w:r>
      <w:r w:rsidR="00314406">
        <w:t>Close the Gap Campaign Steering Committee</w:t>
      </w:r>
      <w:r w:rsidR="00E57908">
        <w:t xml:space="preserve"> (CTG CSC)</w:t>
      </w:r>
      <w:r w:rsidR="00314406">
        <w:t xml:space="preserve">, in </w:t>
      </w:r>
      <w:r w:rsidR="00314406">
        <w:rPr>
          <w:i/>
        </w:rPr>
        <w:t>Close the Gap: A ten-year review: the Closing the Gap Strategy and Recommendations for Reset</w:t>
      </w:r>
      <w:r w:rsidR="00F327C4">
        <w:t>.</w:t>
      </w:r>
      <w:r w:rsidR="00314406">
        <w:rPr>
          <w:rStyle w:val="FootnoteReference"/>
          <w:i/>
        </w:rPr>
        <w:footnoteReference w:id="2"/>
      </w:r>
      <w:r w:rsidR="00647B2F">
        <w:t xml:space="preserve"> </w:t>
      </w:r>
      <w:r w:rsidR="00691003">
        <w:t>The government must</w:t>
      </w:r>
      <w:r w:rsidR="00314406">
        <w:t xml:space="preserve"> r</w:t>
      </w:r>
      <w:r w:rsidR="007C599A" w:rsidRPr="007C599A">
        <w:t>ecommit to the Clos</w:t>
      </w:r>
      <w:r w:rsidR="00722E0A">
        <w:t>e</w:t>
      </w:r>
      <w:r w:rsidR="007C599A" w:rsidRPr="007C599A">
        <w:t xml:space="preserve"> the Gap Statement of Intent,</w:t>
      </w:r>
      <w:r w:rsidR="004E6F2C">
        <w:t xml:space="preserve"> which outlines a number of principles that continue to be relevant and integral to the success of the Close the Gap Strategy, including comprehensive, long term planning, </w:t>
      </w:r>
      <w:r w:rsidR="00691003">
        <w:t xml:space="preserve">Aboriginal Community controlled </w:t>
      </w:r>
      <w:r w:rsidR="004E6F2C">
        <w:t>health care services and health infrastructure</w:t>
      </w:r>
      <w:r w:rsidR="00691003">
        <w:t>.</w:t>
      </w:r>
      <w:r>
        <w:t xml:space="preserve"> </w:t>
      </w:r>
      <w:r w:rsidR="00F37694">
        <w:t xml:space="preserve">In our view, </w:t>
      </w:r>
      <w:r>
        <w:t>the government</w:t>
      </w:r>
      <w:r w:rsidR="00F37694">
        <w:t xml:space="preserve"> must</w:t>
      </w:r>
      <w:r>
        <w:t xml:space="preserve"> </w:t>
      </w:r>
      <w:r w:rsidR="007C599A" w:rsidRPr="007C599A">
        <w:t>undertake a process of true consultation with Aboriginal and Torres Strait Islander people, giving sufficient time to the process</w:t>
      </w:r>
      <w:r w:rsidR="00691003">
        <w:t xml:space="preserve">. </w:t>
      </w:r>
      <w:r>
        <w:t xml:space="preserve">The government must </w:t>
      </w:r>
      <w:r w:rsidR="00F37694">
        <w:t xml:space="preserve">also </w:t>
      </w:r>
      <w:r>
        <w:t>ensure the full participation of Aboriginal and Torres Strait Islander people in all aspects of health planning and service delivery.</w:t>
      </w:r>
      <w:r w:rsidRPr="007C599A" w:rsidDel="006B3BCF">
        <w:t xml:space="preserve"> </w:t>
      </w:r>
    </w:p>
    <w:p w14:paraId="42121B77" w14:textId="4D69D043" w:rsidR="008A59B7" w:rsidRDefault="008A59B7">
      <w:pPr>
        <w:spacing w:before="80" w:after="80"/>
      </w:pPr>
      <w:r>
        <w:br w:type="page"/>
      </w:r>
    </w:p>
    <w:p w14:paraId="4BB47B26" w14:textId="6D68B9F5" w:rsidR="00651E92" w:rsidRPr="00EA1746" w:rsidRDefault="00EA1746" w:rsidP="001370F7">
      <w:pPr>
        <w:pStyle w:val="Heading1"/>
      </w:pPr>
      <w:bookmarkStart w:id="25" w:name="_Toc511217270"/>
      <w:r w:rsidRPr="00EA1746">
        <w:lastRenderedPageBreak/>
        <w:t>Factors impacting on Aboriginal and Torres Strait Islander people’s health</w:t>
      </w:r>
      <w:bookmarkEnd w:id="25"/>
    </w:p>
    <w:p w14:paraId="43514EB7" w14:textId="4402182B" w:rsidR="001370F7" w:rsidRDefault="00FA63F6" w:rsidP="00D51EA3">
      <w:r>
        <w:rPr>
          <w:noProof/>
        </w:rPr>
        <mc:AlternateContent>
          <mc:Choice Requires="wps">
            <w:drawing>
              <wp:inline distT="0" distB="0" distL="0" distR="0" wp14:anchorId="4A393CE1" wp14:editId="5904E70A">
                <wp:extent cx="6120130" cy="953054"/>
                <wp:effectExtent l="0" t="0" r="13970" b="1460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953054"/>
                        </a:xfrm>
                        <a:prstGeom prst="rect">
                          <a:avLst/>
                        </a:prstGeom>
                        <a:solidFill>
                          <a:schemeClr val="accent2"/>
                        </a:solidFill>
                        <a:ln>
                          <a:headEnd/>
                          <a:tailEnd/>
                        </a:ln>
                      </wps:spPr>
                      <wps:style>
                        <a:lnRef idx="2">
                          <a:schemeClr val="accent1"/>
                        </a:lnRef>
                        <a:fillRef idx="1">
                          <a:schemeClr val="lt1"/>
                        </a:fillRef>
                        <a:effectRef idx="0">
                          <a:schemeClr val="accent1"/>
                        </a:effectRef>
                        <a:fontRef idx="minor">
                          <a:schemeClr val="dk1"/>
                        </a:fontRef>
                      </wps:style>
                      <wps:txbx>
                        <w:txbxContent>
                          <w:p w14:paraId="07B60652" w14:textId="77777777" w:rsidR="00FA63F6" w:rsidRPr="001370F7" w:rsidRDefault="00FA63F6" w:rsidP="00FA63F6">
                            <w:pPr>
                              <w:rPr>
                                <w:b/>
                              </w:rPr>
                            </w:pPr>
                            <w:r w:rsidRPr="001370F7">
                              <w:rPr>
                                <w:b/>
                              </w:rPr>
                              <w:t>Recommendation:</w:t>
                            </w:r>
                          </w:p>
                          <w:p w14:paraId="6D1D1C80" w14:textId="77777777" w:rsidR="00FA63F6" w:rsidRDefault="00FA63F6" w:rsidP="00FA63F6">
                            <w:pPr>
                              <w:pStyle w:val="ListParagraph0"/>
                              <w:numPr>
                                <w:ilvl w:val="0"/>
                                <w:numId w:val="19"/>
                              </w:numPr>
                            </w:pPr>
                            <w:r w:rsidRPr="001370F7">
                              <w:t>Ensure the refreshed Closing the Gap strategy addresses the social determinant</w:t>
                            </w:r>
                            <w:r>
                              <w:t xml:space="preserve">s of health, in particular those that </w:t>
                            </w:r>
                            <w:r w:rsidRPr="001370F7">
                              <w:t>impact on eye health and vision care in Aboriginal and Torres Strait Islander communities.</w:t>
                            </w:r>
                          </w:p>
                        </w:txbxContent>
                      </wps:txbx>
                      <wps:bodyPr rot="0" vert="horz" wrap="square" lIns="91440" tIns="45720" rIns="91440" bIns="45720" anchor="t" anchorCtr="0">
                        <a:spAutoFit/>
                      </wps:bodyPr>
                    </wps:wsp>
                  </a:graphicData>
                </a:graphic>
              </wp:inline>
            </w:drawing>
          </mc:Choice>
          <mc:Fallback>
            <w:pict>
              <v:shapetype w14:anchorId="4A393CE1" id="_x0000_t202" coordsize="21600,21600" o:spt="202" path="m,l,21600r21600,l21600,xe">
                <v:stroke joinstyle="miter"/>
                <v:path gradientshapeok="t" o:connecttype="rect"/>
              </v:shapetype>
              <v:shape id="Text Box 2" o:spid="_x0000_s1026" type="#_x0000_t202" style="width:481.9pt;height:7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" fillcolor="#ffe384 [3205]" strokecolor="#004b8d [3204]" strokeweight="2pt">
                <v:textbox style="mso-fit-shape-to-text:t">
                  <w:txbxContent>
                    <w:p w14:paraId="07B60652" w14:textId="77777777" w:rsidR="00FA63F6" w:rsidRPr="001370F7" w:rsidRDefault="00FA63F6" w:rsidP="00FA63F6">
                      <w:pPr>
                        <w:rPr>
                          <w:b/>
                        </w:rPr>
                      </w:pPr>
                      <w:r w:rsidRPr="001370F7">
                        <w:rPr>
                          <w:b/>
                        </w:rPr>
                        <w:t>Recommendation:</w:t>
                      </w:r>
                    </w:p>
                    <w:p w14:paraId="6D1D1C80" w14:textId="77777777" w:rsidR="00FA63F6" w:rsidRDefault="00FA63F6" w:rsidP="00FA63F6">
                      <w:pPr>
                        <w:pStyle w:val="ListParagraph0"/>
                        <w:numPr>
                          <w:ilvl w:val="0"/>
                          <w:numId w:val="19"/>
                        </w:numPr>
                      </w:pPr>
                      <w:r w:rsidRPr="001370F7">
                        <w:t>Ensure the refreshed Closing the Gap strategy addresses the social determinant</w:t>
                      </w:r>
                      <w:r>
                        <w:t xml:space="preserve">s of health, in particular those that </w:t>
                      </w:r>
                      <w:r w:rsidRPr="001370F7">
                        <w:t>impact on eye health and vision care in Aboriginal and Torres Strait Islander communities.</w:t>
                      </w:r>
                    </w:p>
                  </w:txbxContent>
                </v:textbox>
                <w10:anchorlock/>
              </v:shape>
            </w:pict>
          </mc:Fallback>
        </mc:AlternateContent>
      </w:r>
      <w:r>
        <w:br/>
      </w:r>
    </w:p>
    <w:p w14:paraId="2452B146" w14:textId="3BEB0CA8" w:rsidR="00A874DB" w:rsidRDefault="00D51EA3" w:rsidP="00D51EA3">
      <w:r>
        <w:t xml:space="preserve">In 2016, the Australian Institute of Health and Welfare </w:t>
      </w:r>
      <w:r w:rsidR="001B3747">
        <w:t xml:space="preserve">(AIHW) </w:t>
      </w:r>
      <w:r w:rsidR="00035276">
        <w:t>reported that</w:t>
      </w:r>
      <w:r>
        <w:t xml:space="preserve"> Aboriginal and Torres Strait Islander people, as a population group, continue to experience greater health disadvantage than non-Indigenous Australians.</w:t>
      </w:r>
      <w:r w:rsidRPr="00D51EA3">
        <w:rPr>
          <w:rStyle w:val="FootnoteReference"/>
        </w:rPr>
        <w:t xml:space="preserve"> </w:t>
      </w:r>
      <w:r>
        <w:rPr>
          <w:rStyle w:val="FootnoteReference"/>
        </w:rPr>
        <w:footnoteReference w:id="3"/>
      </w:r>
      <w:r>
        <w:t xml:space="preserve"> </w:t>
      </w:r>
      <w:r w:rsidR="00A874DB">
        <w:t>For example:</w:t>
      </w:r>
    </w:p>
    <w:p w14:paraId="13678A0C" w14:textId="77777777" w:rsidR="00A874DB" w:rsidRDefault="00D51EA3" w:rsidP="005D0356">
      <w:pPr>
        <w:pStyle w:val="ListParagraph0"/>
        <w:numPr>
          <w:ilvl w:val="0"/>
          <w:numId w:val="16"/>
        </w:numPr>
      </w:pPr>
      <w:r>
        <w:t xml:space="preserve">Around 36% of Aboriginal and Torres Strait Islander people have some form of disability, around 1.5 times the rate experienced </w:t>
      </w:r>
      <w:r w:rsidR="00A874DB">
        <w:t>by non-Indigenous Australians.</w:t>
      </w:r>
      <w:r w:rsidR="00734064">
        <w:rPr>
          <w:rStyle w:val="FootnoteReference"/>
        </w:rPr>
        <w:footnoteReference w:id="4"/>
      </w:r>
    </w:p>
    <w:p w14:paraId="0627AA02" w14:textId="77777777" w:rsidR="00A874DB" w:rsidRDefault="00D51EA3" w:rsidP="005D0356">
      <w:pPr>
        <w:pStyle w:val="ListParagraph0"/>
        <w:numPr>
          <w:ilvl w:val="0"/>
          <w:numId w:val="16"/>
        </w:numPr>
      </w:pPr>
      <w:r>
        <w:t xml:space="preserve">Aboriginal and Torres Strait Islander people experience </w:t>
      </w:r>
      <w:r w:rsidR="006E5C73">
        <w:t xml:space="preserve">diabetes prevalence, hospitalisation and death at </w:t>
      </w:r>
      <w:r w:rsidR="000F31A6">
        <w:t>3-</w:t>
      </w:r>
      <w:r>
        <w:t xml:space="preserve">4 times the rate of </w:t>
      </w:r>
      <w:r w:rsidR="006E5C73">
        <w:t>non-Indigenous Australians.</w:t>
      </w:r>
      <w:r w:rsidR="006E5C73">
        <w:rPr>
          <w:rStyle w:val="FootnoteReference"/>
        </w:rPr>
        <w:footnoteReference w:id="5"/>
      </w:r>
    </w:p>
    <w:p w14:paraId="3AB1B251" w14:textId="77777777" w:rsidR="00D51EA3" w:rsidRDefault="006E5C73" w:rsidP="005D0356">
      <w:pPr>
        <w:pStyle w:val="ListParagraph0"/>
        <w:numPr>
          <w:ilvl w:val="0"/>
          <w:numId w:val="16"/>
        </w:numPr>
      </w:pPr>
      <w:r>
        <w:t xml:space="preserve">Aboriginal and Torres Strait Islander people aged 50-59 experience </w:t>
      </w:r>
      <w:r w:rsidR="000F31A6">
        <w:t>almost twice the prevalence of vision impairment as non-Indigenous Australians. It is four times higher for those aged 60-69.</w:t>
      </w:r>
      <w:r w:rsidR="000F31A6">
        <w:rPr>
          <w:rStyle w:val="FootnoteReference"/>
        </w:rPr>
        <w:footnoteReference w:id="6"/>
      </w:r>
      <w:r w:rsidR="000F31A6">
        <w:t xml:space="preserve"> </w:t>
      </w:r>
    </w:p>
    <w:p w14:paraId="6CB126CF" w14:textId="77777777" w:rsidR="00B204E7" w:rsidRDefault="00A874DB" w:rsidP="00B204E7">
      <w:pPr>
        <w:pStyle w:val="ListParagraph0"/>
        <w:numPr>
          <w:ilvl w:val="0"/>
          <w:numId w:val="16"/>
        </w:numPr>
      </w:pPr>
      <w:r>
        <w:t xml:space="preserve">Australia remains the only high-income country where trachoma is endemic. It occurs in </w:t>
      </w:r>
      <w:r w:rsidR="00734064">
        <w:t>remote Aboriginal communities and in 201</w:t>
      </w:r>
      <w:r w:rsidR="006B6588">
        <w:t>6</w:t>
      </w:r>
      <w:r w:rsidR="00734064">
        <w:t xml:space="preserve"> was identified </w:t>
      </w:r>
      <w:r w:rsidR="00035276">
        <w:t>in</w:t>
      </w:r>
      <w:r w:rsidR="00734064">
        <w:t xml:space="preserve"> Northern Territory, South Australia and Western Australia.</w:t>
      </w:r>
      <w:r w:rsidR="00734064">
        <w:rPr>
          <w:rStyle w:val="FootnoteReference"/>
        </w:rPr>
        <w:footnoteReference w:id="7"/>
      </w:r>
      <w:r w:rsidR="00B204E7" w:rsidRPr="00B204E7">
        <w:t xml:space="preserve"> </w:t>
      </w:r>
    </w:p>
    <w:p w14:paraId="5FB43E1D" w14:textId="13542359" w:rsidR="00B204E7" w:rsidRDefault="00B204E7" w:rsidP="00B204E7">
      <w:pPr>
        <w:pStyle w:val="ListParagraph0"/>
        <w:numPr>
          <w:ilvl w:val="0"/>
          <w:numId w:val="16"/>
        </w:numPr>
      </w:pPr>
      <w:r>
        <w:t>Aboriginal and Torres Strait Islander people are three times as likely to be blind as non-Indigenous people.</w:t>
      </w:r>
      <w:r w:rsidR="009B5271" w:rsidRPr="009B5271">
        <w:rPr>
          <w:rStyle w:val="FootnoteReference"/>
        </w:rPr>
        <w:t xml:space="preserve"> </w:t>
      </w:r>
      <w:r w:rsidR="009B5271">
        <w:rPr>
          <w:rStyle w:val="FootnoteReference"/>
        </w:rPr>
        <w:footnoteReference w:id="8"/>
      </w:r>
    </w:p>
    <w:p w14:paraId="4479F924" w14:textId="568E2FCB" w:rsidR="00B204E7" w:rsidRDefault="00B204E7" w:rsidP="00B204E7">
      <w:pPr>
        <w:pStyle w:val="ListParagraph0"/>
        <w:numPr>
          <w:ilvl w:val="0"/>
          <w:numId w:val="16"/>
        </w:numPr>
      </w:pPr>
      <w:r>
        <w:t>Ninety-four per cent of vision impairment or blindness is preventable or treatable for Aboriginal and Torres Strait Islander people; however, 35 per cent have never had an eye exam.</w:t>
      </w:r>
      <w:r w:rsidR="009B5271">
        <w:rPr>
          <w:rStyle w:val="FootnoteReference"/>
        </w:rPr>
        <w:footnoteReference w:id="9"/>
      </w:r>
    </w:p>
    <w:p w14:paraId="7D7A067C" w14:textId="0FFDD26B" w:rsidR="008A59B7" w:rsidRDefault="008A59B7" w:rsidP="00B204E7"/>
    <w:p w14:paraId="708835E7" w14:textId="6C164089" w:rsidR="00F37694" w:rsidRDefault="00314406" w:rsidP="00314406">
      <w:r w:rsidRPr="004901FB">
        <w:t>Aboriginal and Torres Strait Islander</w:t>
      </w:r>
      <w:r w:rsidR="00F23AC5">
        <w:t xml:space="preserve"> people experience </w:t>
      </w:r>
      <w:r w:rsidRPr="004901FB">
        <w:t>2.3 times the disease burden of non-Indigenous people</w:t>
      </w:r>
      <w:r w:rsidR="00F23AC5">
        <w:t>. Health e</w:t>
      </w:r>
      <w:r w:rsidRPr="004901FB">
        <w:t>xpenditure is</w:t>
      </w:r>
      <w:r w:rsidR="00F23AC5">
        <w:t xml:space="preserve"> estimated at</w:t>
      </w:r>
      <w:r w:rsidRPr="004901FB">
        <w:t xml:space="preserve"> $1.38 per Aboriginal and Torres Strait Islander person for every $1 spent per non-Indigenous person in 2013-14</w:t>
      </w:r>
      <w:r w:rsidR="00F23AC5">
        <w:t>.</w:t>
      </w:r>
      <w:r w:rsidR="00226B8D">
        <w:rPr>
          <w:rStyle w:val="FootnoteReference"/>
        </w:rPr>
        <w:footnoteReference w:id="10"/>
      </w:r>
      <w:r w:rsidR="00F23AC5">
        <w:t xml:space="preserve"> </w:t>
      </w:r>
      <w:r w:rsidR="00226B8D">
        <w:t>I</w:t>
      </w:r>
      <w:r w:rsidR="00F23AC5">
        <w:t>nvestment does n</w:t>
      </w:r>
      <w:r w:rsidRPr="004901FB">
        <w:t>ot meet the health needs of Aboriginal and Torres Strait Islander people.</w:t>
      </w:r>
      <w:r w:rsidR="00226B8D">
        <w:t xml:space="preserve"> Analysis undertaken for </w:t>
      </w:r>
      <w:r w:rsidR="00226B8D">
        <w:lastRenderedPageBreak/>
        <w:t>Indigenous Eye Health, Melbourne School of Population and Global Health</w:t>
      </w:r>
      <w:r w:rsidR="00776E1F">
        <w:t xml:space="preserve"> indicated </w:t>
      </w:r>
      <w:r w:rsidR="00226B8D">
        <w:t>proper investment could result in a return of $2.50 for each additional $1.00 spent.</w:t>
      </w:r>
      <w:r w:rsidR="00226B8D">
        <w:rPr>
          <w:rStyle w:val="FootnoteReference"/>
        </w:rPr>
        <w:footnoteReference w:id="11"/>
      </w:r>
    </w:p>
    <w:p w14:paraId="1DEA410A" w14:textId="6F70B4D4" w:rsidR="008A59B7" w:rsidRDefault="008A59B7" w:rsidP="00314406"/>
    <w:p w14:paraId="3E42BAE2" w14:textId="4CECDC8E" w:rsidR="00314406" w:rsidRDefault="000E6C6F" w:rsidP="00314406">
      <w:r>
        <w:t>A refreshed Clos</w:t>
      </w:r>
      <w:r w:rsidR="00434395">
        <w:t>ing</w:t>
      </w:r>
      <w:r>
        <w:t xml:space="preserve"> the Gap Strategy </w:t>
      </w:r>
      <w:r w:rsidR="00B65AB1">
        <w:t>must</w:t>
      </w:r>
      <w:r w:rsidR="00150A49">
        <w:t>:</w:t>
      </w:r>
      <w:r w:rsidR="00B65AB1">
        <w:t xml:space="preserve"> </w:t>
      </w:r>
      <w:r w:rsidR="00150A49">
        <w:t xml:space="preserve">provide a platform that enables the development of solutions </w:t>
      </w:r>
      <w:r w:rsidR="00757BC4">
        <w:t xml:space="preserve">by </w:t>
      </w:r>
      <w:r>
        <w:t xml:space="preserve">Aboriginal and Torres </w:t>
      </w:r>
      <w:r w:rsidR="00150A49">
        <w:t>Strait Islander people; acknowledge</w:t>
      </w:r>
      <w:r w:rsidR="00F10F6C">
        <w:t>s</w:t>
      </w:r>
      <w:r w:rsidR="00150A49">
        <w:t xml:space="preserve"> the inequitable disease burden</w:t>
      </w:r>
      <w:r w:rsidR="00F10F6C">
        <w:t xml:space="preserve">; and </w:t>
      </w:r>
      <w:r>
        <w:t>allocate</w:t>
      </w:r>
      <w:r w:rsidR="00F10F6C">
        <w:t>s</w:t>
      </w:r>
      <w:r>
        <w:t xml:space="preserve"> funding accordingly</w:t>
      </w:r>
      <w:r w:rsidR="00F10F6C">
        <w:t xml:space="preserve">. </w:t>
      </w:r>
    </w:p>
    <w:p w14:paraId="21083BA2" w14:textId="77777777" w:rsidR="000F31A6" w:rsidRDefault="000F31A6" w:rsidP="00D51EA3"/>
    <w:p w14:paraId="3EEC3E4B" w14:textId="77777777" w:rsidR="0086628B" w:rsidRDefault="00B67D9D" w:rsidP="00734064">
      <w:r>
        <w:t>There is a strong relationship</w:t>
      </w:r>
      <w:r w:rsidR="001B3747">
        <w:t xml:space="preserve"> between health outcomes and living and working conditions</w:t>
      </w:r>
      <w:r w:rsidR="00194D54">
        <w:t>. Th</w:t>
      </w:r>
      <w:r>
        <w:t xml:space="preserve">e AIHW reported </w:t>
      </w:r>
      <w:r w:rsidR="00177180">
        <w:t>“f</w:t>
      </w:r>
      <w:r w:rsidR="001B3747">
        <w:t>actor</w:t>
      </w:r>
      <w:r w:rsidR="00035276">
        <w:t>s</w:t>
      </w:r>
      <w:r w:rsidR="001B3747">
        <w:t xml:space="preserve"> such as income, education, conditions of employment, power and social support act to strengthen or undermine the health of individuals and communities.”</w:t>
      </w:r>
      <w:r w:rsidR="001B3747">
        <w:rPr>
          <w:rStyle w:val="FootnoteReference"/>
        </w:rPr>
        <w:footnoteReference w:id="12"/>
      </w:r>
    </w:p>
    <w:p w14:paraId="405BFC0E" w14:textId="77777777" w:rsidR="0086628B" w:rsidRDefault="0086628B" w:rsidP="00734064"/>
    <w:p w14:paraId="3CCE1E94" w14:textId="0258D090" w:rsidR="00D403FC" w:rsidRDefault="00CC1653" w:rsidP="00734064">
      <w:r>
        <w:t>For Aboriginal and Torres Strait Islander people, health outcomes are negatively impacted by differences in social determinants. Aboriginal and Torres Strait Islander people are more likely to have low income, low educational attainment</w:t>
      </w:r>
      <w:r w:rsidR="00B65AB1">
        <w:t>,</w:t>
      </w:r>
      <w:r w:rsidR="00F23AC5">
        <w:rPr>
          <w:rStyle w:val="FootnoteReference"/>
        </w:rPr>
        <w:footnoteReference w:id="13"/>
      </w:r>
      <w:r>
        <w:t xml:space="preserve"> </w:t>
      </w:r>
      <w:proofErr w:type="gramStart"/>
      <w:r>
        <w:t>experience</w:t>
      </w:r>
      <w:proofErr w:type="gramEnd"/>
      <w:r>
        <w:t xml:space="preserve"> housing instability</w:t>
      </w:r>
      <w:r w:rsidR="00F23AC5">
        <w:rPr>
          <w:rStyle w:val="FootnoteReference"/>
        </w:rPr>
        <w:footnoteReference w:id="14"/>
      </w:r>
      <w:r>
        <w:t xml:space="preserve"> or live </w:t>
      </w:r>
      <w:r w:rsidR="00F23AC5">
        <w:t xml:space="preserve">in </w:t>
      </w:r>
      <w:r w:rsidR="00194D54">
        <w:t>in</w:t>
      </w:r>
      <w:r w:rsidR="00F23AC5">
        <w:t>adequate housing.</w:t>
      </w:r>
      <w:r w:rsidR="00F23AC5">
        <w:rPr>
          <w:rStyle w:val="FootnoteReference"/>
        </w:rPr>
        <w:footnoteReference w:id="15"/>
      </w:r>
    </w:p>
    <w:p w14:paraId="4A77F40C" w14:textId="77777777" w:rsidR="00EA1746" w:rsidRDefault="00EA1746" w:rsidP="00734064"/>
    <w:p w14:paraId="76DA59DB" w14:textId="31B7B928" w:rsidR="00734064" w:rsidRDefault="00734064" w:rsidP="00734064">
      <w:r>
        <w:t xml:space="preserve">In </w:t>
      </w:r>
      <w:r w:rsidR="00AF565F">
        <w:t xml:space="preserve">2016 Aboriginal and Torres Strait Islander peak representative organisations developed </w:t>
      </w:r>
      <w:r>
        <w:t>the Redfern Statement, call</w:t>
      </w:r>
      <w:r w:rsidR="0086628B">
        <w:t xml:space="preserve">ing </w:t>
      </w:r>
      <w:r>
        <w:t xml:space="preserve">for a </w:t>
      </w:r>
      <w:r w:rsidR="00927D19">
        <w:t xml:space="preserve">better understanding of </w:t>
      </w:r>
      <w:r>
        <w:t>the social determinants of health and wellbeing</w:t>
      </w:r>
      <w:r w:rsidR="00AF565F">
        <w:t xml:space="preserve">, to guide initiatives to </w:t>
      </w:r>
      <w:r>
        <w:t>close the gap</w:t>
      </w:r>
      <w:r w:rsidR="00AF565F">
        <w:t xml:space="preserve"> in health</w:t>
      </w:r>
      <w:r>
        <w:t>.</w:t>
      </w:r>
      <w:r w:rsidR="00FE7591">
        <w:t xml:space="preserve"> They argued that a siloed approach to addressing Aboriginal and Torres Strait Islander disadvantage would prevent progress. The</w:t>
      </w:r>
      <w:r w:rsidR="00974DBC">
        <w:t xml:space="preserve"> Redfern Statement </w:t>
      </w:r>
      <w:r w:rsidR="0086628B">
        <w:t xml:space="preserve">said </w:t>
      </w:r>
      <w:r w:rsidR="00FE7591">
        <w:t xml:space="preserve">it </w:t>
      </w:r>
      <w:r w:rsidR="00974DBC">
        <w:t xml:space="preserve">is </w:t>
      </w:r>
      <w:r w:rsidR="00FE7591">
        <w:t>impossible to close the gap without addressing the social determinants of health and wellbeing, including housing, education, employment and community support.</w:t>
      </w:r>
      <w:r w:rsidR="00FE7591" w:rsidRPr="00A47C54">
        <w:rPr>
          <w:rStyle w:val="FootnoteReference"/>
        </w:rPr>
        <w:footnoteReference w:id="16"/>
      </w:r>
    </w:p>
    <w:p w14:paraId="31B61D2C" w14:textId="07FC1565" w:rsidR="00651E92" w:rsidRDefault="00651E92" w:rsidP="00FE7591"/>
    <w:p w14:paraId="269DAC01" w14:textId="382BFDE0" w:rsidR="00776E1F" w:rsidRDefault="00327B67" w:rsidP="00FE7591">
      <w:r w:rsidRPr="00E57908">
        <w:t>Vision</w:t>
      </w:r>
      <w:r>
        <w:t xml:space="preserve"> 2020 Australia supports a greater focus on the social determinants of health. Our members gave examples of the direct impact of social factors on eye health, for example, incidence of trachoma and diabetic retinopathy.</w:t>
      </w:r>
      <w:r>
        <w:rPr>
          <w:rStyle w:val="FootnoteReference"/>
        </w:rPr>
        <w:footnoteReference w:id="17"/>
      </w:r>
    </w:p>
    <w:p w14:paraId="50905327" w14:textId="1D414B12" w:rsidR="006A23FD" w:rsidRDefault="00F7216F" w:rsidP="00FE7591">
      <w:r>
        <w:rPr>
          <w:noProof/>
          <w:lang w:eastAsia="en-AU"/>
        </w:rPr>
        <w:lastRenderedPageBreak/>
        <mc:AlternateContent>
          <mc:Choice Requires="wps">
            <w:drawing>
              <wp:inline distT="0" distB="0" distL="0" distR="0" wp14:anchorId="1099838E" wp14:editId="6C588DCA">
                <wp:extent cx="5779135" cy="2423795"/>
                <wp:effectExtent l="0" t="0" r="12065" b="14605"/>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9135" cy="2423795"/>
                        </a:xfrm>
                        <a:prstGeom prst="rect">
                          <a:avLst/>
                        </a:prstGeom>
                        <a:solidFill>
                          <a:schemeClr val="accent2"/>
                        </a:solidFill>
                        <a:ln w="19050">
                          <a:solidFill>
                            <a:schemeClr val="accent1"/>
                          </a:solidFill>
                          <a:miter lim="800000"/>
                          <a:headEnd/>
                          <a:tailEnd/>
                        </a:ln>
                      </wps:spPr>
                      <wps:txbx>
                        <w:txbxContent>
                          <w:p w14:paraId="0617B23D" w14:textId="77777777" w:rsidR="00F7216F" w:rsidRPr="00A62CB5" w:rsidRDefault="00F7216F" w:rsidP="00F7216F">
                            <w:pPr>
                              <w:rPr>
                                <w:b/>
                                <w:i/>
                              </w:rPr>
                            </w:pPr>
                            <w:r w:rsidRPr="00A62CB5">
                              <w:rPr>
                                <w:b/>
                                <w:i/>
                              </w:rPr>
                              <w:t>Connecting the social determinants of health with eye health in Aboriginal and Torres Strait Islander communities</w:t>
                            </w:r>
                          </w:p>
                          <w:p w14:paraId="561D8D8C" w14:textId="77777777" w:rsidR="00F7216F" w:rsidRDefault="00F7216F" w:rsidP="00F7216F"/>
                          <w:p w14:paraId="46CC2753" w14:textId="77777777" w:rsidR="00F7216F" w:rsidRPr="00502C2A" w:rsidRDefault="00F7216F" w:rsidP="00F7216F">
                            <w:pPr>
                              <w:rPr>
                                <w:b/>
                              </w:rPr>
                            </w:pPr>
                            <w:r w:rsidRPr="00502C2A">
                              <w:rPr>
                                <w:b/>
                              </w:rPr>
                              <w:t>Trachoma</w:t>
                            </w:r>
                          </w:p>
                          <w:p w14:paraId="210D7179" w14:textId="77777777" w:rsidR="00F7216F" w:rsidRDefault="00F7216F" w:rsidP="00F7216F">
                            <w:r>
                              <w:t>High rates of trachoma in remote communities are closely connected to poor access to clean water, poor access to medical services and overcrowded housing.</w:t>
                            </w:r>
                          </w:p>
                          <w:p w14:paraId="1BC6EC07" w14:textId="77777777" w:rsidR="00F7216F" w:rsidRDefault="00F7216F" w:rsidP="00F7216F"/>
                          <w:p w14:paraId="39597D71" w14:textId="77777777" w:rsidR="00F7216F" w:rsidRPr="00502C2A" w:rsidRDefault="00F7216F" w:rsidP="00F7216F">
                            <w:pPr>
                              <w:rPr>
                                <w:b/>
                              </w:rPr>
                            </w:pPr>
                            <w:r w:rsidRPr="00502C2A">
                              <w:rPr>
                                <w:b/>
                              </w:rPr>
                              <w:t>Diabetic retinopathy</w:t>
                            </w:r>
                          </w:p>
                          <w:p w14:paraId="392E3B08" w14:textId="77777777" w:rsidR="00F7216F" w:rsidRDefault="00F7216F" w:rsidP="00F7216F">
                            <w:r>
                              <w:t>Historical, social and cultural and health-factors</w:t>
                            </w:r>
                            <w:r w:rsidRPr="00776E1F">
                              <w:t xml:space="preserve"> </w:t>
                            </w:r>
                            <w:r>
                              <w:t>combine resulting in Aboriginal and Torres Strait Islander adults being 3.4 times more likely to have diabetes as non-Indigenous adults. Furthermore, the</w:t>
                            </w:r>
                            <w:r w:rsidRPr="006A23FD">
                              <w:t xml:space="preserve"> 2016</w:t>
                            </w:r>
                            <w:r w:rsidRPr="006A23FD">
                              <w:rPr>
                                <w:i/>
                              </w:rPr>
                              <w:t xml:space="preserve"> National Eye Health Survey</w:t>
                            </w:r>
                            <w:r>
                              <w:t xml:space="preserve"> identified 53% of Indigenous Australians with diabetes (compared with 78% of non-Indigenous Australians) had the recommended retinal examination, resulting in higher rates of diabetic retinopathy.</w:t>
                            </w:r>
                          </w:p>
                        </w:txbxContent>
                      </wps:txbx>
                      <wps:bodyPr rot="0" vert="horz" wrap="square" lIns="91440" tIns="45720" rIns="91440" bIns="45720" anchor="t" anchorCtr="0">
                        <a:noAutofit/>
                      </wps:bodyPr>
                    </wps:wsp>
                  </a:graphicData>
                </a:graphic>
              </wp:inline>
            </w:drawing>
          </mc:Choice>
          <mc:Fallback>
            <w:pict>
              <v:shape w14:anchorId="1099838E" id="_x0000_s1027" type="#_x0000_t202" style="width:455.05pt;height:19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" fillcolor="#ffe384 [3205]" strokecolor="#004b8d [3204]" strokeweight="1.5pt">
                <v:textbox>
                  <w:txbxContent>
                    <w:p w14:paraId="0617B23D" w14:textId="77777777" w:rsidR="00F7216F" w:rsidRPr="00A62CB5" w:rsidRDefault="00F7216F" w:rsidP="00F7216F">
                      <w:pPr>
                        <w:rPr>
                          <w:b/>
                          <w:i/>
                        </w:rPr>
                      </w:pPr>
                      <w:r w:rsidRPr="00A62CB5">
                        <w:rPr>
                          <w:b/>
                          <w:i/>
                        </w:rPr>
                        <w:t>Connecting the social determinants of health with eye health in Aboriginal and Torres Strait Islander communities</w:t>
                      </w:r>
                    </w:p>
                    <w:p w14:paraId="561D8D8C" w14:textId="77777777" w:rsidR="00F7216F" w:rsidRDefault="00F7216F" w:rsidP="00F7216F"/>
                    <w:p w14:paraId="46CC2753" w14:textId="77777777" w:rsidR="00F7216F" w:rsidRPr="00502C2A" w:rsidRDefault="00F7216F" w:rsidP="00F7216F">
                      <w:pPr>
                        <w:rPr>
                          <w:b/>
                        </w:rPr>
                      </w:pPr>
                      <w:r w:rsidRPr="00502C2A">
                        <w:rPr>
                          <w:b/>
                        </w:rPr>
                        <w:t>Trachoma</w:t>
                      </w:r>
                    </w:p>
                    <w:p w14:paraId="210D7179" w14:textId="77777777" w:rsidR="00F7216F" w:rsidRDefault="00F7216F" w:rsidP="00F7216F">
                      <w:r>
                        <w:t>High rates of trachoma in remote communities are closely connected to poor access to clean water, poor access to medical services and overcrowded housing.</w:t>
                      </w:r>
                    </w:p>
                    <w:p w14:paraId="1BC6EC07" w14:textId="77777777" w:rsidR="00F7216F" w:rsidRDefault="00F7216F" w:rsidP="00F7216F"/>
                    <w:p w14:paraId="39597D71" w14:textId="77777777" w:rsidR="00F7216F" w:rsidRPr="00502C2A" w:rsidRDefault="00F7216F" w:rsidP="00F7216F">
                      <w:pPr>
                        <w:rPr>
                          <w:b/>
                        </w:rPr>
                      </w:pPr>
                      <w:r w:rsidRPr="00502C2A">
                        <w:rPr>
                          <w:b/>
                        </w:rPr>
                        <w:t>Diabetic retinopathy</w:t>
                      </w:r>
                    </w:p>
                    <w:p w14:paraId="392E3B08" w14:textId="77777777" w:rsidR="00F7216F" w:rsidRDefault="00F7216F" w:rsidP="00F7216F">
                      <w:r>
                        <w:t>Historical, social and cultural and health-factors</w:t>
                      </w:r>
                      <w:r w:rsidRPr="00776E1F">
                        <w:t xml:space="preserve"> </w:t>
                      </w:r>
                      <w:r>
                        <w:t>combine resulting in Aboriginal and Torres Strait Islander adults being 3.4 times more likely to have diabetes as non-Indigenous adults. Furthermore, the</w:t>
                      </w:r>
                      <w:r w:rsidRPr="006A23FD">
                        <w:t xml:space="preserve"> 2016</w:t>
                      </w:r>
                      <w:r w:rsidRPr="006A23FD">
                        <w:rPr>
                          <w:i/>
                        </w:rPr>
                        <w:t xml:space="preserve"> National Eye Health Survey</w:t>
                      </w:r>
                      <w:r>
                        <w:t xml:space="preserve"> identified 53% of Indigenous Australians with diabetes (compared with 78% of non-Indigenous Australians) had the recommended retinal examination, resulting in higher rates of diabetic retinopathy.</w:t>
                      </w:r>
                    </w:p>
                  </w:txbxContent>
                </v:textbox>
                <w10:anchorlock/>
              </v:shape>
            </w:pict>
          </mc:Fallback>
        </mc:AlternateContent>
      </w:r>
      <w:r>
        <w:br/>
      </w:r>
    </w:p>
    <w:p w14:paraId="7BDBA558" w14:textId="49B6D9C2" w:rsidR="00FE7591" w:rsidRDefault="00177180" w:rsidP="00005FEB">
      <w:r>
        <w:t>Vision</w:t>
      </w:r>
      <w:r w:rsidR="00025F09">
        <w:t xml:space="preserve"> </w:t>
      </w:r>
      <w:r>
        <w:t xml:space="preserve">2020 </w:t>
      </w:r>
      <w:r w:rsidR="00025F09">
        <w:t xml:space="preserve">Australia </w:t>
      </w:r>
      <w:r>
        <w:t xml:space="preserve">supports the position of the </w:t>
      </w:r>
      <w:r w:rsidR="00647B2F">
        <w:t xml:space="preserve">CTG CSC </w:t>
      </w:r>
      <w:r w:rsidR="00025F09">
        <w:t xml:space="preserve">in </w:t>
      </w:r>
      <w:r>
        <w:t>call</w:t>
      </w:r>
      <w:r w:rsidR="00025F09">
        <w:t>ing</w:t>
      </w:r>
      <w:r>
        <w:t xml:space="preserve"> for </w:t>
      </w:r>
      <w:r w:rsidR="003577CF">
        <w:t>social determinants of health inequality</w:t>
      </w:r>
      <w:r>
        <w:t xml:space="preserve"> to</w:t>
      </w:r>
      <w:r w:rsidR="003577CF">
        <w:t xml:space="preserve"> be addressed</w:t>
      </w:r>
      <w:r w:rsidR="005951C5">
        <w:t xml:space="preserve"> to inform future directions to close the gap.</w:t>
      </w:r>
      <w:r w:rsidR="003577CF">
        <w:rPr>
          <w:rStyle w:val="FootnoteReference"/>
        </w:rPr>
        <w:footnoteReference w:id="18"/>
      </w:r>
      <w:r w:rsidR="00DB73A7">
        <w:t xml:space="preserve"> </w:t>
      </w:r>
    </w:p>
    <w:p w14:paraId="346309F2" w14:textId="77777777" w:rsidR="003577CF" w:rsidRDefault="003577CF" w:rsidP="00FE7591"/>
    <w:p w14:paraId="65934501" w14:textId="4CCAB6A9" w:rsidR="008A59B7" w:rsidRDefault="008A59B7">
      <w:pPr>
        <w:spacing w:before="80" w:after="80"/>
      </w:pPr>
      <w:r>
        <w:br w:type="page"/>
      </w:r>
    </w:p>
    <w:p w14:paraId="17CE611E" w14:textId="77777777" w:rsidR="00DB73A7" w:rsidRDefault="00DB73A7" w:rsidP="00F27840"/>
    <w:p w14:paraId="39B9BA30" w14:textId="459588A0" w:rsidR="00F27840" w:rsidRPr="00EA1746" w:rsidRDefault="00B65AB1" w:rsidP="00F27050">
      <w:pPr>
        <w:pStyle w:val="Heading1"/>
      </w:pPr>
      <w:bookmarkStart w:id="27" w:name="_Toc511217271"/>
      <w:r>
        <w:t xml:space="preserve">Collaboration between </w:t>
      </w:r>
      <w:r w:rsidR="00F27840" w:rsidRPr="00EA1746">
        <w:t>Aboriginal and Torres Strait Islander People</w:t>
      </w:r>
      <w:r>
        <w:t>, community-led organisation</w:t>
      </w:r>
      <w:r w:rsidR="008A59B7">
        <w:t>s</w:t>
      </w:r>
      <w:r>
        <w:t>, government and b</w:t>
      </w:r>
      <w:r w:rsidR="00F27840" w:rsidRPr="00EA1746">
        <w:t>usiness</w:t>
      </w:r>
      <w:bookmarkEnd w:id="27"/>
    </w:p>
    <w:p w14:paraId="1FA29B70" w14:textId="7C525AFF" w:rsidR="006C716E" w:rsidRDefault="006C716E" w:rsidP="00F27050">
      <w:pPr>
        <w:pStyle w:val="Heading2"/>
      </w:pPr>
      <w:bookmarkStart w:id="28" w:name="_Toc511217272"/>
      <w:r>
        <w:t>Collaborate with Aboriginal and Torres Strait Island</w:t>
      </w:r>
      <w:r w:rsidR="00035276">
        <w:t>er</w:t>
      </w:r>
      <w:r>
        <w:t xml:space="preserve"> people and organisations</w:t>
      </w:r>
      <w:bookmarkEnd w:id="28"/>
    </w:p>
    <w:p w14:paraId="13CAD382" w14:textId="57856AD0" w:rsidR="001370F7" w:rsidRPr="001370F7" w:rsidRDefault="001370F7" w:rsidP="001370F7">
      <w:pPr>
        <w:spacing w:before="120" w:after="120" w:line="264" w:lineRule="auto"/>
        <w:rPr>
          <w:rFonts w:eastAsia="Times New Roman" w:cs="Times New Roman"/>
          <w:szCs w:val="24"/>
          <w:lang w:eastAsia="en-AU"/>
        </w:rPr>
      </w:pPr>
      <w:r>
        <w:rPr>
          <w:noProof/>
          <w:lang w:eastAsia="en-AU"/>
        </w:rPr>
        <mc:AlternateContent>
          <mc:Choice Requires="wps">
            <w:drawing>
              <wp:inline distT="0" distB="0" distL="0" distR="0" wp14:anchorId="27297D14" wp14:editId="255F3F2E">
                <wp:extent cx="6296025" cy="767715"/>
                <wp:effectExtent l="0" t="0" r="28575" b="1333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767715"/>
                        </a:xfrm>
                        <a:prstGeom prst="rect">
                          <a:avLst/>
                        </a:prstGeom>
                        <a:solidFill>
                          <a:schemeClr val="accent2"/>
                        </a:solidFill>
                        <a:ln>
                          <a:headEnd/>
                          <a:tailEnd/>
                        </a:ln>
                      </wps:spPr>
                      <wps:style>
                        <a:lnRef idx="2">
                          <a:schemeClr val="accent1"/>
                        </a:lnRef>
                        <a:fillRef idx="1">
                          <a:schemeClr val="lt1"/>
                        </a:fillRef>
                        <a:effectRef idx="0">
                          <a:schemeClr val="accent1"/>
                        </a:effectRef>
                        <a:fontRef idx="minor">
                          <a:schemeClr val="dk1"/>
                        </a:fontRef>
                      </wps:style>
                      <wps:txbx>
                        <w:txbxContent>
                          <w:p w14:paraId="7F37A547" w14:textId="6D0BDB2D" w:rsidR="00BD59AF" w:rsidRPr="001370F7" w:rsidRDefault="00BD59AF" w:rsidP="001370F7">
                            <w:pPr>
                              <w:rPr>
                                <w:b/>
                              </w:rPr>
                            </w:pPr>
                            <w:r w:rsidRPr="001370F7">
                              <w:rPr>
                                <w:b/>
                              </w:rPr>
                              <w:t>Recommendation:</w:t>
                            </w:r>
                          </w:p>
                          <w:p w14:paraId="48DBEEB2" w14:textId="4438D160" w:rsidR="00BD59AF" w:rsidRDefault="00BD59AF" w:rsidP="005D0356">
                            <w:pPr>
                              <w:pStyle w:val="ListParagraph0"/>
                              <w:numPr>
                                <w:ilvl w:val="0"/>
                                <w:numId w:val="20"/>
                              </w:numPr>
                            </w:pPr>
                            <w:r w:rsidRPr="001370F7">
                              <w:t>Ensure Aboriginal and Torres Strait Islander people and organisations lead the design of the refreshed Clos</w:t>
                            </w:r>
                            <w:r>
                              <w:t>ing</w:t>
                            </w:r>
                            <w:r w:rsidRPr="001370F7">
                              <w:t xml:space="preserve"> the Gap strategy</w:t>
                            </w:r>
                            <w:r>
                              <w:t>.</w:t>
                            </w:r>
                          </w:p>
                          <w:p w14:paraId="0B1C9980" w14:textId="05EBA754" w:rsidR="00BD59AF" w:rsidRDefault="00BD59AF" w:rsidP="005D1F03">
                            <w:pPr>
                              <w:pStyle w:val="ListParagraph0"/>
                              <w:numPr>
                                <w:ilvl w:val="0"/>
                                <w:numId w:val="0"/>
                              </w:numPr>
                              <w:ind w:left="720"/>
                            </w:pPr>
                          </w:p>
                        </w:txbxContent>
                      </wps:txbx>
                      <wps:bodyPr rot="0" vert="horz" wrap="square" lIns="91440" tIns="45720" rIns="91440" bIns="45720" anchor="t" anchorCtr="0">
                        <a:noAutofit/>
                      </wps:bodyPr>
                    </wps:wsp>
                  </a:graphicData>
                </a:graphic>
              </wp:inline>
            </w:drawing>
          </mc:Choice>
          <mc:Fallback>
            <w:pict>
              <v:shape w14:anchorId="27297D14" id="_x0000_s1028" type="#_x0000_t202" style="width:495.75pt;height:6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" fillcolor="#ffe384 [3205]" strokecolor="#004b8d [3204]" strokeweight="2pt">
                <v:textbox>
                  <w:txbxContent>
                    <w:p w14:paraId="7F37A547" w14:textId="6D0BDB2D" w:rsidR="00BD59AF" w:rsidRPr="001370F7" w:rsidRDefault="00BD59AF" w:rsidP="001370F7">
                      <w:pPr>
                        <w:rPr>
                          <w:b/>
                        </w:rPr>
                      </w:pPr>
                      <w:r w:rsidRPr="001370F7">
                        <w:rPr>
                          <w:b/>
                        </w:rPr>
                        <w:t>Recommendation:</w:t>
                      </w:r>
                    </w:p>
                    <w:p w14:paraId="48DBEEB2" w14:textId="4438D160" w:rsidR="00BD59AF" w:rsidRDefault="00BD59AF" w:rsidP="005D0356">
                      <w:pPr>
                        <w:pStyle w:val="ListParagraph0"/>
                        <w:numPr>
                          <w:ilvl w:val="0"/>
                          <w:numId w:val="20"/>
                        </w:numPr>
                      </w:pPr>
                      <w:r w:rsidRPr="001370F7">
                        <w:t>Ensure Aboriginal and Torres Strait Islander people and organisations lead the design of the refreshed Clos</w:t>
                      </w:r>
                      <w:r>
                        <w:t>ing</w:t>
                      </w:r>
                      <w:r w:rsidRPr="001370F7">
                        <w:t xml:space="preserve"> the Gap strategy</w:t>
                      </w:r>
                      <w:r>
                        <w:t>.</w:t>
                      </w:r>
                    </w:p>
                    <w:p w14:paraId="0B1C9980" w14:textId="05EBA754" w:rsidR="00BD59AF" w:rsidRDefault="00BD59AF" w:rsidP="005D1F03">
                      <w:pPr>
                        <w:pStyle w:val="ListParagraph0"/>
                        <w:numPr>
                          <w:ilvl w:val="0"/>
                          <w:numId w:val="0"/>
                        </w:numPr>
                        <w:ind w:left="720"/>
                      </w:pPr>
                    </w:p>
                  </w:txbxContent>
                </v:textbox>
                <w10:anchorlock/>
              </v:shape>
            </w:pict>
          </mc:Fallback>
        </mc:AlternateContent>
      </w:r>
    </w:p>
    <w:p w14:paraId="66D3FED1" w14:textId="14604AA4" w:rsidR="008A59B7" w:rsidRDefault="008A59B7" w:rsidP="00F27840">
      <w:pPr>
        <w:rPr>
          <w:rFonts w:eastAsia="Times New Roman" w:cs="Times New Roman"/>
          <w:szCs w:val="24"/>
          <w:lang w:eastAsia="en-AU"/>
        </w:rPr>
      </w:pPr>
    </w:p>
    <w:p w14:paraId="54F12B9D" w14:textId="2C82E2F8" w:rsidR="00F808B8" w:rsidRDefault="00CB25E4" w:rsidP="00F27840">
      <w:r>
        <w:t>Aboriginal and Torres Strait Island</w:t>
      </w:r>
      <w:r w:rsidR="00035276">
        <w:t>er</w:t>
      </w:r>
      <w:r>
        <w:t xml:space="preserve"> community-led organisations must be at the forefront </w:t>
      </w:r>
      <w:r w:rsidR="00035276">
        <w:t xml:space="preserve">of </w:t>
      </w:r>
      <w:r w:rsidR="00EA1746">
        <w:t>health planning</w:t>
      </w:r>
      <w:r w:rsidR="00373762">
        <w:t xml:space="preserve"> through co-design</w:t>
      </w:r>
      <w:r>
        <w:t>. The voices of Aboriginal and Torres Strait Islander people must be elevated</w:t>
      </w:r>
      <w:r w:rsidR="00373762">
        <w:t xml:space="preserve"> to promote self-determination</w:t>
      </w:r>
      <w:r w:rsidR="00EA1746">
        <w:t xml:space="preserve">. </w:t>
      </w:r>
      <w:r>
        <w:t xml:space="preserve">Aboriginal and Torres Strait Islander people, government and business can work better together when all parties approach the work in </w:t>
      </w:r>
      <w:r w:rsidR="00A66CA7">
        <w:t>a</w:t>
      </w:r>
      <w:r>
        <w:t xml:space="preserve"> spirit of genuine partnership and collaboration</w:t>
      </w:r>
      <w:r w:rsidR="00F808B8">
        <w:t>.</w:t>
      </w:r>
    </w:p>
    <w:p w14:paraId="4F11A633" w14:textId="7321C864" w:rsidR="00F27050" w:rsidRDefault="00F27050" w:rsidP="00F27840"/>
    <w:p w14:paraId="03F384DC" w14:textId="5357777F" w:rsidR="00F27050" w:rsidRDefault="00F27050" w:rsidP="00F27840">
      <w:r>
        <w:t xml:space="preserve">Vision 2020 Australia members acknowledged the importance of </w:t>
      </w:r>
      <w:r w:rsidR="00D17E14">
        <w:t xml:space="preserve">Aboriginal and Torres Strait Islander people and organisations </w:t>
      </w:r>
      <w:r w:rsidR="00FB1FAA">
        <w:t>lead</w:t>
      </w:r>
      <w:r>
        <w:t xml:space="preserve">ing </w:t>
      </w:r>
      <w:r w:rsidR="00FB1FAA">
        <w:t>the design of the refreshed Clos</w:t>
      </w:r>
      <w:r w:rsidR="00434395">
        <w:t>ing</w:t>
      </w:r>
      <w:r w:rsidR="00FB1FAA">
        <w:t xml:space="preserve"> the Gap strategy and </w:t>
      </w:r>
      <w:r>
        <w:t xml:space="preserve">Commonwealth, state and territory </w:t>
      </w:r>
      <w:r w:rsidR="00FB1FAA">
        <w:t>health planning.</w:t>
      </w:r>
      <w:r w:rsidR="005D1F03">
        <w:t xml:space="preserve"> To effectively participate in collaborative processes and health planning, Aboriginal Controlled Health Organisations (ACCHOs) must be resourced to support their </w:t>
      </w:r>
      <w:r w:rsidR="00B65AB1">
        <w:t xml:space="preserve">active </w:t>
      </w:r>
      <w:r w:rsidR="005D1F03">
        <w:t>participation</w:t>
      </w:r>
      <w:r w:rsidR="00B65AB1">
        <w:t xml:space="preserve"> in planning and consultation processes</w:t>
      </w:r>
      <w:r w:rsidR="005D1F03">
        <w:t xml:space="preserve">. </w:t>
      </w:r>
    </w:p>
    <w:p w14:paraId="2B3D28B2" w14:textId="5CDF8484" w:rsidR="006C716E" w:rsidRDefault="006C716E" w:rsidP="006C716E"/>
    <w:p w14:paraId="644EF1BB" w14:textId="5405E52A" w:rsidR="006C716E" w:rsidRDefault="006C716E" w:rsidP="006C716E">
      <w:r>
        <w:t xml:space="preserve">Vision 2020 Australia members pointed to the collaborative working style adopted by the V2020A policy </w:t>
      </w:r>
      <w:r w:rsidR="00471AEE">
        <w:t>committees</w:t>
      </w:r>
      <w:r>
        <w:t>, that bring together business, community members, peak bodies, professional associations and health service providers to deal with eye health and vision care policy and advocacy. This is a model that the Closing the Gap initiative could consider</w:t>
      </w:r>
      <w:r w:rsidR="006A23FD">
        <w:t xml:space="preserve"> for bringing together the multi-sectoral expertise needed to deliver initiatives to improve Aboriginal and Torres Strait Islander health outcomes</w:t>
      </w:r>
      <w:r>
        <w:t>.</w:t>
      </w:r>
      <w:r w:rsidR="004A203A">
        <w:t xml:space="preserve"> </w:t>
      </w:r>
    </w:p>
    <w:p w14:paraId="20CC0B5A" w14:textId="2182BB0C" w:rsidR="009603F7" w:rsidRDefault="009603F7" w:rsidP="006C716E"/>
    <w:p w14:paraId="439C6E32" w14:textId="11DC340E" w:rsidR="008A59B7" w:rsidRDefault="008A59B7">
      <w:pPr>
        <w:spacing w:before="80" w:after="80"/>
      </w:pPr>
      <w:r>
        <w:br w:type="page"/>
      </w:r>
    </w:p>
    <w:p w14:paraId="633C5724" w14:textId="66052A0E" w:rsidR="006C716E" w:rsidRDefault="006C716E" w:rsidP="00CD49C9">
      <w:pPr>
        <w:pStyle w:val="Heading2"/>
      </w:pPr>
      <w:bookmarkStart w:id="29" w:name="_Toc511217273"/>
      <w:r>
        <w:lastRenderedPageBreak/>
        <w:t xml:space="preserve">Funding should be based on </w:t>
      </w:r>
      <w:r w:rsidR="00DC3F87">
        <w:t>Aboriginal and Torres Strait Islander health needs</w:t>
      </w:r>
      <w:r>
        <w:t>, not political cycles</w:t>
      </w:r>
      <w:bookmarkEnd w:id="29"/>
    </w:p>
    <w:p w14:paraId="6BFA10E0" w14:textId="6DFAC062" w:rsidR="001370F7" w:rsidRPr="001370F7" w:rsidRDefault="00EE5780" w:rsidP="001370F7">
      <w:pPr>
        <w:pStyle w:val="BodyText"/>
      </w:pPr>
      <w:r>
        <w:rPr>
          <w:noProof/>
        </w:rPr>
        <mc:AlternateContent>
          <mc:Choice Requires="wps">
            <w:drawing>
              <wp:inline distT="0" distB="0" distL="0" distR="0" wp14:anchorId="47B362EB" wp14:editId="47E699D4">
                <wp:extent cx="5886450" cy="857250"/>
                <wp:effectExtent l="0" t="0" r="19050" b="1905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857250"/>
                        </a:xfrm>
                        <a:prstGeom prst="rect">
                          <a:avLst/>
                        </a:prstGeom>
                        <a:solidFill>
                          <a:schemeClr val="accent2"/>
                        </a:solidFill>
                        <a:ln>
                          <a:headEnd/>
                          <a:tailEnd/>
                        </a:ln>
                      </wps:spPr>
                      <wps:style>
                        <a:lnRef idx="2">
                          <a:schemeClr val="accent1"/>
                        </a:lnRef>
                        <a:fillRef idx="1">
                          <a:schemeClr val="lt1"/>
                        </a:fillRef>
                        <a:effectRef idx="0">
                          <a:schemeClr val="accent1"/>
                        </a:effectRef>
                        <a:fontRef idx="minor">
                          <a:schemeClr val="dk1"/>
                        </a:fontRef>
                      </wps:style>
                      <wps:txbx>
                        <w:txbxContent>
                          <w:p w14:paraId="133CB812" w14:textId="77777777" w:rsidR="00EE5780" w:rsidRDefault="00EE5780" w:rsidP="00EE5780">
                            <w:r>
                              <w:t>Recommendation:</w:t>
                            </w:r>
                          </w:p>
                          <w:p w14:paraId="1B6E352D" w14:textId="77777777" w:rsidR="00EE5780" w:rsidRDefault="00EE5780" w:rsidP="00EE5780">
                            <w:pPr>
                              <w:pStyle w:val="ListParagraph0"/>
                              <w:numPr>
                                <w:ilvl w:val="0"/>
                                <w:numId w:val="21"/>
                              </w:numPr>
                            </w:pPr>
                            <w:r w:rsidRPr="004A37D3">
                              <w:t xml:space="preserve">Commit to long term funding based on the needs of communities, rather than political </w:t>
                            </w:r>
                            <w:r>
                              <w:t>cycles.</w:t>
                            </w:r>
                          </w:p>
                        </w:txbxContent>
                      </wps:txbx>
                      <wps:bodyPr rot="0" vert="horz" wrap="square" lIns="91440" tIns="45720" rIns="91440" bIns="45720" anchor="t" anchorCtr="0">
                        <a:noAutofit/>
                      </wps:bodyPr>
                    </wps:wsp>
                  </a:graphicData>
                </a:graphic>
              </wp:inline>
            </w:drawing>
          </mc:Choice>
          <mc:Fallback>
            <w:pict>
              <v:shape w14:anchorId="47B362EB" id="_x0000_s1029" type="#_x0000_t202" style="width:463.5pt;height: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" fillcolor="#ffe384 [3205]" strokecolor="#004b8d [3204]" strokeweight="2pt">
                <v:textbox>
                  <w:txbxContent>
                    <w:p w14:paraId="133CB812" w14:textId="77777777" w:rsidR="00EE5780" w:rsidRDefault="00EE5780" w:rsidP="00EE5780">
                      <w:r>
                        <w:t>Recommendation:</w:t>
                      </w:r>
                    </w:p>
                    <w:p w14:paraId="1B6E352D" w14:textId="77777777" w:rsidR="00EE5780" w:rsidRDefault="00EE5780" w:rsidP="00EE5780">
                      <w:pPr>
                        <w:pStyle w:val="ListParagraph0"/>
                        <w:numPr>
                          <w:ilvl w:val="0"/>
                          <w:numId w:val="21"/>
                        </w:numPr>
                      </w:pPr>
                      <w:r w:rsidRPr="004A37D3">
                        <w:t xml:space="preserve">Commit to long term funding based on the needs of communities, rather than political </w:t>
                      </w:r>
                      <w:r>
                        <w:t>cycles.</w:t>
                      </w:r>
                    </w:p>
                  </w:txbxContent>
                </v:textbox>
                <w10:anchorlock/>
              </v:shape>
            </w:pict>
          </mc:Fallback>
        </mc:AlternateContent>
      </w:r>
    </w:p>
    <w:p w14:paraId="41FBD364" w14:textId="77777777" w:rsidR="00327B67" w:rsidRDefault="00327B67" w:rsidP="00666225"/>
    <w:p w14:paraId="1CE7FE43" w14:textId="05FBC117" w:rsidR="00DC3F87" w:rsidRDefault="00373762" w:rsidP="00666225">
      <w:r>
        <w:t>The C</w:t>
      </w:r>
      <w:r w:rsidR="00B579ED">
        <w:t>TG C</w:t>
      </w:r>
      <w:r>
        <w:t>SC called for a five</w:t>
      </w:r>
      <w:r w:rsidR="00025F09">
        <w:t>-</w:t>
      </w:r>
      <w:r>
        <w:t xml:space="preserve">year national plan to identify and fill health service gaps (see Recommendation 5). Vision 2020 Australia supports this recommendation. </w:t>
      </w:r>
      <w:r w:rsidR="00EA1746">
        <w:t xml:space="preserve">The government can </w:t>
      </w:r>
      <w:r w:rsidR="00DC3F87">
        <w:t xml:space="preserve">foster </w:t>
      </w:r>
      <w:r w:rsidR="00EA1746">
        <w:t>more effective working relationships if it acknowledges that the political cycle inh</w:t>
      </w:r>
      <w:r w:rsidR="00B579ED">
        <w:t>ibits the growth of good work. Short f</w:t>
      </w:r>
      <w:r w:rsidR="00EA1746">
        <w:t xml:space="preserve">unding cycles and </w:t>
      </w:r>
      <w:r w:rsidR="00B579ED">
        <w:t xml:space="preserve">bureaucratic </w:t>
      </w:r>
      <w:r w:rsidR="00EA1746">
        <w:t xml:space="preserve">funding structures are damaging to effective partnership building between governments, Aboriginal and Torres Strait Islander people and business. The uncertainty created by short term funding cycles </w:t>
      </w:r>
      <w:r w:rsidR="00327B67">
        <w:t>is also a de-motivator for</w:t>
      </w:r>
      <w:r w:rsidR="00EA1746">
        <w:t xml:space="preserve"> business</w:t>
      </w:r>
      <w:r w:rsidR="00327B67">
        <w:t xml:space="preserve"> and creative </w:t>
      </w:r>
      <w:r w:rsidR="001E50D0">
        <w:t>partnerships</w:t>
      </w:r>
      <w:r w:rsidR="00327B67">
        <w:t>.</w:t>
      </w:r>
    </w:p>
    <w:p w14:paraId="0B11FF53" w14:textId="77777777" w:rsidR="00DC3F87" w:rsidRDefault="00DC3F87" w:rsidP="00666225"/>
    <w:p w14:paraId="4C7CC25B" w14:textId="59975A22" w:rsidR="006C716E" w:rsidRDefault="00483693" w:rsidP="00666225">
      <w:r>
        <w:t xml:space="preserve">Short term funding </w:t>
      </w:r>
      <w:r w:rsidR="0013598B">
        <w:t>is</w:t>
      </w:r>
      <w:r>
        <w:t xml:space="preserve"> also ineffective at addressing long</w:t>
      </w:r>
      <w:r w:rsidR="00025F09">
        <w:t>-</w:t>
      </w:r>
      <w:r>
        <w:t>term health inequalities that require long term solutions</w:t>
      </w:r>
      <w:r w:rsidR="0013598B">
        <w:t xml:space="preserve">. </w:t>
      </w:r>
      <w:r w:rsidR="00DC3F87">
        <w:t>This issue was examined by the Senate inquiry into the impact on service quality, efficiency and sustainability of recent Commonwealth Indigenous Advancement Strategy tendering processes by the Department of Prime Minister and Cabinet.</w:t>
      </w:r>
      <w:r w:rsidR="006C716E">
        <w:t xml:space="preserve"> Changes to funding mechanisms under the I</w:t>
      </w:r>
      <w:r w:rsidR="00DC3F87">
        <w:t xml:space="preserve">ndigenous </w:t>
      </w:r>
      <w:r w:rsidR="006C716E">
        <w:t>A</w:t>
      </w:r>
      <w:r w:rsidR="00DC3F87">
        <w:t xml:space="preserve">dvancement </w:t>
      </w:r>
      <w:r w:rsidR="006C716E">
        <w:t>S</w:t>
      </w:r>
      <w:r w:rsidR="00DC3F87">
        <w:t>trategy</w:t>
      </w:r>
      <w:r w:rsidR="006C716E">
        <w:t xml:space="preserve"> led to confusion for organisations and a refocus of resources onto </w:t>
      </w:r>
      <w:r w:rsidR="0014213E">
        <w:t xml:space="preserve">resource intensive </w:t>
      </w:r>
      <w:r w:rsidR="006C716E">
        <w:t xml:space="preserve">funding applications </w:t>
      </w:r>
      <w:r w:rsidR="0014213E">
        <w:t xml:space="preserve">ahead of </w:t>
      </w:r>
      <w:r w:rsidR="006C716E">
        <w:t>direct service delivery.</w:t>
      </w:r>
      <w:r w:rsidR="006C716E">
        <w:rPr>
          <w:rStyle w:val="FootnoteReference"/>
        </w:rPr>
        <w:footnoteReference w:id="19"/>
      </w:r>
    </w:p>
    <w:p w14:paraId="69390788" w14:textId="77777777" w:rsidR="00483693" w:rsidRDefault="00483693" w:rsidP="00666225"/>
    <w:p w14:paraId="6B18B086" w14:textId="3129A5ED" w:rsidR="008A59B7" w:rsidRDefault="008F4191" w:rsidP="008A59B7">
      <w:r>
        <w:t xml:space="preserve">The government must align </w:t>
      </w:r>
      <w:r w:rsidRPr="008F4191">
        <w:t>service provision</w:t>
      </w:r>
      <w:r w:rsidR="006A23FD">
        <w:t xml:space="preserve"> with an </w:t>
      </w:r>
      <w:r w:rsidRPr="008F4191">
        <w:t>assessment of population-based needs</w:t>
      </w:r>
      <w:r w:rsidR="006A23FD">
        <w:t xml:space="preserve">. This will help </w:t>
      </w:r>
      <w:r w:rsidRPr="008F4191">
        <w:t xml:space="preserve">to </w:t>
      </w:r>
      <w:r>
        <w:t xml:space="preserve">determine </w:t>
      </w:r>
      <w:r w:rsidRPr="008F4191">
        <w:t xml:space="preserve">the gap between current service provision and the real </w:t>
      </w:r>
      <w:r w:rsidR="006A23FD">
        <w:t xml:space="preserve">needs of the </w:t>
      </w:r>
      <w:r w:rsidRPr="008F4191">
        <w:t>population</w:t>
      </w:r>
      <w:r w:rsidR="006A23FD">
        <w:t xml:space="preserve">. </w:t>
      </w:r>
      <w:r w:rsidR="008A59B7">
        <w:t>This is particularly the case for rural and remote service provision</w:t>
      </w:r>
      <w:r w:rsidR="006A23FD">
        <w:t xml:space="preserve">, including the Rural Health Outreach Fund, the Visiting Optometrists Scheme and the </w:t>
      </w:r>
      <w:r w:rsidR="00B13325">
        <w:t xml:space="preserve">regional </w:t>
      </w:r>
      <w:r w:rsidR="006A23FD">
        <w:t xml:space="preserve">coordination and </w:t>
      </w:r>
      <w:r w:rsidR="00B13325">
        <w:t xml:space="preserve">patient </w:t>
      </w:r>
      <w:r w:rsidR="006A23FD">
        <w:t>case management services provided under Integrated Team Care.</w:t>
      </w:r>
    </w:p>
    <w:p w14:paraId="3F5C8A28" w14:textId="06721E7D" w:rsidR="008A59B7" w:rsidRPr="008F4191" w:rsidRDefault="008A59B7" w:rsidP="008F4191"/>
    <w:p w14:paraId="321858F0" w14:textId="3955874C" w:rsidR="00EC7850" w:rsidRDefault="00EC7850">
      <w:pPr>
        <w:spacing w:before="80" w:after="80"/>
        <w:rPr>
          <w:u w:val="single"/>
        </w:rPr>
      </w:pPr>
      <w:r>
        <w:rPr>
          <w:u w:val="single"/>
        </w:rPr>
        <w:br w:type="page"/>
      </w:r>
    </w:p>
    <w:p w14:paraId="3E9A4D08" w14:textId="74B7C25E" w:rsidR="005D0356" w:rsidRDefault="006C716E" w:rsidP="008A59B7">
      <w:pPr>
        <w:pStyle w:val="Heading2"/>
      </w:pPr>
      <w:bookmarkStart w:id="30" w:name="_Toc511217274"/>
      <w:r>
        <w:lastRenderedPageBreak/>
        <w:t>Achieve consistency across Commonwealth, State and Territory approaches</w:t>
      </w:r>
      <w:r w:rsidR="002E0B6F">
        <w:br/>
      </w:r>
      <w:r w:rsidR="002E0B6F">
        <w:br/>
      </w:r>
      <w:r w:rsidR="005D0356">
        <w:rPr>
          <w:noProof/>
        </w:rPr>
        <mc:AlternateContent>
          <mc:Choice Requires="wps">
            <w:drawing>
              <wp:inline distT="0" distB="0" distL="0" distR="0" wp14:anchorId="7C083EDE" wp14:editId="66CF89D2">
                <wp:extent cx="5915025" cy="819150"/>
                <wp:effectExtent l="0" t="0" r="28575"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819150"/>
                        </a:xfrm>
                        <a:prstGeom prst="rect">
                          <a:avLst/>
                        </a:prstGeom>
                        <a:solidFill>
                          <a:schemeClr val="accent2"/>
                        </a:solidFill>
                        <a:ln>
                          <a:headEnd/>
                          <a:tailEnd/>
                        </a:ln>
                      </wps:spPr>
                      <wps:style>
                        <a:lnRef idx="2">
                          <a:schemeClr val="accent1"/>
                        </a:lnRef>
                        <a:fillRef idx="1">
                          <a:schemeClr val="lt1"/>
                        </a:fillRef>
                        <a:effectRef idx="0">
                          <a:schemeClr val="accent1"/>
                        </a:effectRef>
                        <a:fontRef idx="minor">
                          <a:schemeClr val="dk1"/>
                        </a:fontRef>
                      </wps:style>
                      <wps:txbx>
                        <w:txbxContent>
                          <w:p w14:paraId="034C2612" w14:textId="6DD54AC8" w:rsidR="00BD59AF" w:rsidRDefault="00BD59AF">
                            <w:r>
                              <w:t>Recommendation:</w:t>
                            </w:r>
                          </w:p>
                          <w:p w14:paraId="2AA2C535" w14:textId="17D53964" w:rsidR="00BD59AF" w:rsidRDefault="00BD59AF" w:rsidP="005D0356">
                            <w:pPr>
                              <w:pStyle w:val="ListParagraph0"/>
                              <w:numPr>
                                <w:ilvl w:val="0"/>
                                <w:numId w:val="22"/>
                              </w:numPr>
                            </w:pPr>
                            <w:r>
                              <w:t>Work towards establishing unified Commonwealth, state and territory approaches to Aboriginal and Torres Strait Islander eye health.</w:t>
                            </w:r>
                          </w:p>
                        </w:txbxContent>
                      </wps:txbx>
                      <wps:bodyPr rot="0" vert="horz" wrap="square" lIns="91440" tIns="45720" rIns="91440" bIns="45720" anchor="t" anchorCtr="0">
                        <a:noAutofit/>
                      </wps:bodyPr>
                    </wps:wsp>
                  </a:graphicData>
                </a:graphic>
              </wp:inline>
            </w:drawing>
          </mc:Choice>
          <mc:Fallback>
            <w:pict>
              <v:shape w14:anchorId="7C083EDE" id="_x0000_s1030" type="#_x0000_t202" style="width:465.75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" fillcolor="#ffe384 [3205]" strokecolor="#004b8d [3204]" strokeweight="2pt">
                <v:textbox>
                  <w:txbxContent>
                    <w:p w14:paraId="034C2612" w14:textId="6DD54AC8" w:rsidR="00BD59AF" w:rsidRDefault="00BD59AF">
                      <w:r>
                        <w:t>Recommendation:</w:t>
                      </w:r>
                    </w:p>
                    <w:p w14:paraId="2AA2C535" w14:textId="17D53964" w:rsidR="00BD59AF" w:rsidRDefault="00BD59AF" w:rsidP="005D0356">
                      <w:pPr>
                        <w:pStyle w:val="ListParagraph0"/>
                        <w:numPr>
                          <w:ilvl w:val="0"/>
                          <w:numId w:val="22"/>
                        </w:numPr>
                      </w:pPr>
                      <w:r>
                        <w:t>Work towards establishing unified Commonwealth, state and territory approaches to Aboriginal and Torres Strait Islander eye health.</w:t>
                      </w:r>
                    </w:p>
                  </w:txbxContent>
                </v:textbox>
                <w10:anchorlock/>
              </v:shape>
            </w:pict>
          </mc:Fallback>
        </mc:AlternateContent>
      </w:r>
      <w:bookmarkEnd w:id="30"/>
    </w:p>
    <w:p w14:paraId="7C02FDBA" w14:textId="2953C54E" w:rsidR="005D0356" w:rsidRDefault="005D0356" w:rsidP="00666225"/>
    <w:p w14:paraId="56800930" w14:textId="27BBBDFD" w:rsidR="00483693" w:rsidRDefault="00483693" w:rsidP="00666225">
      <w:r>
        <w:t xml:space="preserve">Vision 2020 Australia members also identified the need for better collaboration between governments. </w:t>
      </w:r>
      <w:r w:rsidR="004901FB">
        <w:t xml:space="preserve">We are of the view better relationships can be achieved between community and </w:t>
      </w:r>
      <w:r>
        <w:t xml:space="preserve">Commonwealth and state and territory governments </w:t>
      </w:r>
      <w:r w:rsidR="0013598B">
        <w:t xml:space="preserve">if they </w:t>
      </w:r>
      <w:r w:rsidR="004901FB">
        <w:t>adopt a unified approach to Aboriginal and Torres Strait Islander health.</w:t>
      </w:r>
      <w:r w:rsidR="00373762">
        <w:t xml:space="preserve"> National health “architecture”</w:t>
      </w:r>
      <w:r w:rsidR="0031699D">
        <w:t>,</w:t>
      </w:r>
      <w:r w:rsidR="005C1F00">
        <w:rPr>
          <w:rStyle w:val="FootnoteReference"/>
        </w:rPr>
        <w:footnoteReference w:id="20"/>
      </w:r>
      <w:r w:rsidR="00FB1FAA">
        <w:t xml:space="preserve"> includin</w:t>
      </w:r>
      <w:r w:rsidR="00BF1B4B">
        <w:t xml:space="preserve">g national partnerships, </w:t>
      </w:r>
      <w:r w:rsidR="00FB1FAA">
        <w:t>funding agreements,</w:t>
      </w:r>
      <w:r w:rsidR="00373762">
        <w:t xml:space="preserve"> </w:t>
      </w:r>
      <w:r w:rsidR="00BF1B4B">
        <w:t xml:space="preserve">jurisdictional implementation plans, and reporting on national and state/territory targets </w:t>
      </w:r>
      <w:r w:rsidR="00373762">
        <w:t>is required</w:t>
      </w:r>
      <w:r w:rsidR="00EC7850">
        <w:t xml:space="preserve">. </w:t>
      </w:r>
      <w:r w:rsidR="00614A4B">
        <w:t xml:space="preserve">Costing and funding the </w:t>
      </w:r>
      <w:r w:rsidR="002A12F0">
        <w:t xml:space="preserve">Implementation Plan for the </w:t>
      </w:r>
      <w:r w:rsidR="00614A4B">
        <w:t xml:space="preserve">National Aboriginal and Torres Strait Islander Health Plan </w:t>
      </w:r>
      <w:r w:rsidR="00FB1FAA">
        <w:t>is an integral part of this national architecture</w:t>
      </w:r>
      <w:r w:rsidR="00614A4B">
        <w:t>.</w:t>
      </w:r>
    </w:p>
    <w:p w14:paraId="2DF0979B" w14:textId="2F6F67FF" w:rsidR="000256BE" w:rsidRDefault="000256BE" w:rsidP="000256BE">
      <w:pPr>
        <w:rPr>
          <w:highlight w:val="yellow"/>
        </w:rPr>
      </w:pPr>
    </w:p>
    <w:p w14:paraId="76302698" w14:textId="299E6D10" w:rsidR="00AB0331" w:rsidRDefault="00FA63F6" w:rsidP="00F27840">
      <w:r>
        <w:rPr>
          <w:noProof/>
          <w:lang w:eastAsia="en-AU"/>
        </w:rPr>
        <mc:AlternateContent>
          <mc:Choice Requires="wps">
            <w:drawing>
              <wp:inline distT="0" distB="0" distL="0" distR="0" wp14:anchorId="1CF34DAB" wp14:editId="3CF74ED8">
                <wp:extent cx="6076950" cy="2000250"/>
                <wp:effectExtent l="19050" t="19050" r="19050" b="19050"/>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2000250"/>
                        </a:xfrm>
                        <a:prstGeom prst="rect">
                          <a:avLst/>
                        </a:prstGeom>
                        <a:solidFill>
                          <a:schemeClr val="accent2"/>
                        </a:solidFill>
                        <a:ln w="28575">
                          <a:solidFill>
                            <a:schemeClr val="accent1"/>
                          </a:solidFill>
                          <a:miter lim="800000"/>
                          <a:headEnd/>
                          <a:tailEnd/>
                        </a:ln>
                      </wps:spPr>
                      <wps:txbx>
                        <w:txbxContent>
                          <w:p w14:paraId="4B6A8490" w14:textId="77777777" w:rsidR="00FA63F6" w:rsidRPr="004715BD" w:rsidRDefault="00FA63F6" w:rsidP="00FA63F6">
                            <w:pPr>
                              <w:rPr>
                                <w:b/>
                                <w:i/>
                              </w:rPr>
                            </w:pPr>
                            <w:r w:rsidRPr="004715BD">
                              <w:rPr>
                                <w:b/>
                                <w:i/>
                              </w:rPr>
                              <w:t>Good practice example</w:t>
                            </w:r>
                          </w:p>
                          <w:p w14:paraId="506C5736" w14:textId="77777777" w:rsidR="00FA63F6" w:rsidRDefault="00FA63F6" w:rsidP="00FA63F6"/>
                          <w:p w14:paraId="675A96B8" w14:textId="77777777" w:rsidR="00FA63F6" w:rsidRDefault="00FA63F6" w:rsidP="00FA63F6">
                            <w:r w:rsidRPr="00292607">
                              <w:t xml:space="preserve">In 2016, Optometry Australia and the National Aboriginal Community Controlled Health Organisation (NACCHO) developed the </w:t>
                            </w:r>
                            <w:r w:rsidRPr="00292607">
                              <w:rPr>
                                <w:i/>
                              </w:rPr>
                              <w:t>Principles for nationally consistent subsidised spectacle schemes for Aboriginal and Torres Strait Islander people: Recommended implementation standards</w:t>
                            </w:r>
                            <w:r w:rsidRPr="00292607">
                              <w:t>. In recognition that a nationally consistent approach to providing subsidised spectacles to Aboriginal and Torres Strait Islander people would have a dramatic impact on eye health, these Principles and standards were subsequently endorsed by Vision 2020 Australia. The Principles detail the key elements of subsidised spectacle schemes which would meet the needs of Aboriginal and Torres Strait Islander people regardless of their location.</w:t>
                            </w:r>
                          </w:p>
                          <w:p w14:paraId="19550476" w14:textId="77777777" w:rsidR="00FA63F6" w:rsidRDefault="00FA63F6" w:rsidP="00FA63F6"/>
                        </w:txbxContent>
                      </wps:txbx>
                      <wps:bodyPr rot="0" vert="horz" wrap="square" lIns="91440" tIns="45720" rIns="91440" bIns="45720" anchor="t" anchorCtr="0">
                        <a:noAutofit/>
                      </wps:bodyPr>
                    </wps:wsp>
                  </a:graphicData>
                </a:graphic>
              </wp:inline>
            </w:drawing>
          </mc:Choice>
          <mc:Fallback>
            <w:pict>
              <v:shape w14:anchorId="1CF34DAB" id="_x0000_s1031" type="#_x0000_t202" style="width:478.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" fillcolor="#ffe384 [3205]" strokecolor="#004b8d [3204]" strokeweight="2.25pt">
                <v:textbox>
                  <w:txbxContent>
                    <w:p w14:paraId="4B6A8490" w14:textId="77777777" w:rsidR="00FA63F6" w:rsidRPr="004715BD" w:rsidRDefault="00FA63F6" w:rsidP="00FA63F6">
                      <w:pPr>
                        <w:rPr>
                          <w:b/>
                          <w:i/>
                        </w:rPr>
                      </w:pPr>
                      <w:r w:rsidRPr="004715BD">
                        <w:rPr>
                          <w:b/>
                          <w:i/>
                        </w:rPr>
                        <w:t>Good practice example</w:t>
                      </w:r>
                    </w:p>
                    <w:p w14:paraId="506C5736" w14:textId="77777777" w:rsidR="00FA63F6" w:rsidRDefault="00FA63F6" w:rsidP="00FA63F6"/>
                    <w:p w14:paraId="675A96B8" w14:textId="77777777" w:rsidR="00FA63F6" w:rsidRDefault="00FA63F6" w:rsidP="00FA63F6">
                      <w:r w:rsidRPr="00292607">
                        <w:t xml:space="preserve">In 2016, Optometry Australia and the National Aboriginal Community Controlled Health Organisation (NACCHO) developed the </w:t>
                      </w:r>
                      <w:r w:rsidRPr="00292607">
                        <w:rPr>
                          <w:i/>
                        </w:rPr>
                        <w:t>Principles for nationally consistent subsidised spectacle schemes for Aboriginal and Torres Strait Islander people: Recommended implementation standards</w:t>
                      </w:r>
                      <w:r w:rsidRPr="00292607">
                        <w:t>. In recognition that a nationally consistent approach to providing subsidised spectacles to Aboriginal and Torres Strait Islander people would have a dramatic impact on eye health, these Principles and standards were subsequently endorsed by Vision 2020 Australia. The Principles detail the key elements of subsidised spectacle schemes which would meet the needs of Aboriginal and Torres Strait Islander people regardless of their location.</w:t>
                      </w:r>
                    </w:p>
                    <w:p w14:paraId="19550476" w14:textId="77777777" w:rsidR="00FA63F6" w:rsidRDefault="00FA63F6" w:rsidP="00FA63F6"/>
                  </w:txbxContent>
                </v:textbox>
                <w10:anchorlock/>
              </v:shape>
            </w:pict>
          </mc:Fallback>
        </mc:AlternateContent>
      </w:r>
      <w:r>
        <w:br/>
      </w:r>
    </w:p>
    <w:p w14:paraId="4298BD72" w14:textId="24B8F06E" w:rsidR="009B5271" w:rsidRPr="009B5271" w:rsidRDefault="009B5271" w:rsidP="00F27840">
      <w:r>
        <w:t xml:space="preserve">The need for a nationally consistent approach to Aboriginal and Torres Strait Islander eye care is also supported in </w:t>
      </w:r>
      <w:r>
        <w:rPr>
          <w:i/>
        </w:rPr>
        <w:t>the Roadmap to Close the Gap for Vision</w:t>
      </w:r>
      <w:r>
        <w:t>.</w:t>
      </w:r>
      <w:r>
        <w:rPr>
          <w:rStyle w:val="FootnoteReference"/>
        </w:rPr>
        <w:footnoteReference w:id="21"/>
      </w:r>
    </w:p>
    <w:p w14:paraId="582E6AAA" w14:textId="02EEC18F" w:rsidR="009B5271" w:rsidRDefault="009B5271" w:rsidP="00F27840"/>
    <w:p w14:paraId="1C84385C" w14:textId="77777777" w:rsidR="009B5271" w:rsidRDefault="009B5271" w:rsidP="00F27840"/>
    <w:p w14:paraId="669F0C76" w14:textId="77F3E97E" w:rsidR="00EC7850" w:rsidRDefault="00EC7850">
      <w:pPr>
        <w:spacing w:before="80" w:after="80"/>
        <w:rPr>
          <w:rFonts w:asciiTheme="majorHAnsi" w:eastAsia="Times New Roman" w:hAnsiTheme="majorHAnsi" w:cs="Arial"/>
          <w:bCs/>
          <w:color w:val="004B8D" w:themeColor="accent1"/>
          <w:kern w:val="32"/>
          <w:sz w:val="36"/>
          <w:szCs w:val="32"/>
          <w:lang w:eastAsia="en-AU"/>
        </w:rPr>
      </w:pPr>
      <w:r>
        <w:br w:type="page"/>
      </w:r>
    </w:p>
    <w:p w14:paraId="586F1B8B" w14:textId="542A3371" w:rsidR="005D0356" w:rsidRDefault="00EC7850" w:rsidP="00EC7850">
      <w:pPr>
        <w:pStyle w:val="Heading1"/>
      </w:pPr>
      <w:bookmarkStart w:id="31" w:name="_Toc511217275"/>
      <w:r>
        <w:lastRenderedPageBreak/>
        <w:t>Measuring targets</w:t>
      </w:r>
      <w:bookmarkEnd w:id="31"/>
    </w:p>
    <w:p w14:paraId="12D64C96" w14:textId="1731C086" w:rsidR="005D0356" w:rsidRDefault="008A1FBE" w:rsidP="000677CE">
      <w:r>
        <w:rPr>
          <w:noProof/>
        </w:rPr>
        <mc:AlternateContent>
          <mc:Choice Requires="wps">
            <w:drawing>
              <wp:inline distT="0" distB="0" distL="0" distR="0" wp14:anchorId="6AB3A287" wp14:editId="3D5A611B">
                <wp:extent cx="6120130" cy="1839686"/>
                <wp:effectExtent l="0" t="0" r="13970" b="27305"/>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839686"/>
                        </a:xfrm>
                        <a:prstGeom prst="rect">
                          <a:avLst/>
                        </a:prstGeom>
                        <a:solidFill>
                          <a:schemeClr val="accent2"/>
                        </a:solidFill>
                        <a:ln>
                          <a:headEnd/>
                          <a:tailEnd/>
                        </a:ln>
                      </wps:spPr>
                      <wps:style>
                        <a:lnRef idx="2">
                          <a:schemeClr val="accent1"/>
                        </a:lnRef>
                        <a:fillRef idx="1">
                          <a:schemeClr val="lt1"/>
                        </a:fillRef>
                        <a:effectRef idx="0">
                          <a:schemeClr val="accent1"/>
                        </a:effectRef>
                        <a:fontRef idx="minor">
                          <a:schemeClr val="dk1"/>
                        </a:fontRef>
                      </wps:style>
                      <wps:txbx>
                        <w:txbxContent>
                          <w:p w14:paraId="126C35DA" w14:textId="77777777" w:rsidR="008A1FBE" w:rsidRDefault="008A1FBE" w:rsidP="008A1FBE">
                            <w:r>
                              <w:t>Recommendations:</w:t>
                            </w:r>
                          </w:p>
                          <w:p w14:paraId="5C5AB9BF" w14:textId="77777777" w:rsidR="008A1FBE" w:rsidRDefault="008A1FBE" w:rsidP="008A1FBE">
                            <w:pPr>
                              <w:pStyle w:val="ListParagraph0"/>
                              <w:numPr>
                                <w:ilvl w:val="0"/>
                                <w:numId w:val="23"/>
                              </w:numPr>
                            </w:pPr>
                            <w:r w:rsidRPr="008B19AE">
                              <w:t>Measure inputs to Aboriginal and Torres Strait Islander health as well as outputs and outcomes</w:t>
                            </w:r>
                            <w:r>
                              <w:t>.</w:t>
                            </w:r>
                          </w:p>
                          <w:p w14:paraId="1F94AE27" w14:textId="77777777" w:rsidR="008A1FBE" w:rsidRDefault="008A1FBE" w:rsidP="008A1FBE">
                            <w:pPr>
                              <w:pStyle w:val="ListParagraph0"/>
                              <w:numPr>
                                <w:ilvl w:val="0"/>
                                <w:numId w:val="23"/>
                              </w:numPr>
                            </w:pPr>
                            <w:r>
                              <w:t>Develop mechanisms for identifying and measuring barriers to Aboriginal and Torres Strait Islander access to eye health services.</w:t>
                            </w:r>
                          </w:p>
                          <w:p w14:paraId="25E9D8E0" w14:textId="77777777" w:rsidR="008A1FBE" w:rsidRDefault="008A1FBE" w:rsidP="008A1FBE">
                            <w:pPr>
                              <w:pStyle w:val="ListParagraph0"/>
                              <w:numPr>
                                <w:ilvl w:val="0"/>
                                <w:numId w:val="23"/>
                              </w:numPr>
                            </w:pPr>
                            <w:r>
                              <w:t>Develop mechanisms to define and monitor improvements in access to eye health services.</w:t>
                            </w:r>
                          </w:p>
                        </w:txbxContent>
                      </wps:txbx>
                      <wps:bodyPr rot="0" vert="horz" wrap="square" lIns="91440" tIns="45720" rIns="91440" bIns="45720" anchor="t" anchorCtr="0">
                        <a:noAutofit/>
                      </wps:bodyPr>
                    </wps:wsp>
                  </a:graphicData>
                </a:graphic>
              </wp:inline>
            </w:drawing>
          </mc:Choice>
          <mc:Fallback>
            <w:pict>
              <v:shape w14:anchorId="6AB3A287" id="_x0000_s1032" type="#_x0000_t202" style="width:481.9pt;height:14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" fillcolor="#ffe384 [3205]" strokecolor="#004b8d [3204]" strokeweight="2pt">
                <v:textbox>
                  <w:txbxContent>
                    <w:p w14:paraId="126C35DA" w14:textId="77777777" w:rsidR="008A1FBE" w:rsidRDefault="008A1FBE" w:rsidP="008A1FBE">
                      <w:r>
                        <w:t>Recommendations:</w:t>
                      </w:r>
                    </w:p>
                    <w:p w14:paraId="5C5AB9BF" w14:textId="77777777" w:rsidR="008A1FBE" w:rsidRDefault="008A1FBE" w:rsidP="008A1FBE">
                      <w:pPr>
                        <w:pStyle w:val="ListParagraph0"/>
                        <w:numPr>
                          <w:ilvl w:val="0"/>
                          <w:numId w:val="23"/>
                        </w:numPr>
                      </w:pPr>
                      <w:r w:rsidRPr="008B19AE">
                        <w:t>Measure inputs to Aboriginal and Torres Strait Islander health as well as outputs and outcomes</w:t>
                      </w:r>
                      <w:r>
                        <w:t>.</w:t>
                      </w:r>
                    </w:p>
                    <w:p w14:paraId="1F94AE27" w14:textId="77777777" w:rsidR="008A1FBE" w:rsidRDefault="008A1FBE" w:rsidP="008A1FBE">
                      <w:pPr>
                        <w:pStyle w:val="ListParagraph0"/>
                        <w:numPr>
                          <w:ilvl w:val="0"/>
                          <w:numId w:val="23"/>
                        </w:numPr>
                      </w:pPr>
                      <w:r>
                        <w:t>Develop mechanisms for identifying and measuring barriers to Aboriginal and Torres Strait Islander access to eye health services.</w:t>
                      </w:r>
                    </w:p>
                    <w:p w14:paraId="25E9D8E0" w14:textId="77777777" w:rsidR="008A1FBE" w:rsidRDefault="008A1FBE" w:rsidP="008A1FBE">
                      <w:pPr>
                        <w:pStyle w:val="ListParagraph0"/>
                        <w:numPr>
                          <w:ilvl w:val="0"/>
                          <w:numId w:val="23"/>
                        </w:numPr>
                      </w:pPr>
                      <w:r>
                        <w:t>Develop mechanisms to define and monitor improvements in access to eye health services.</w:t>
                      </w:r>
                    </w:p>
                  </w:txbxContent>
                </v:textbox>
                <w10:anchorlock/>
              </v:shape>
            </w:pict>
          </mc:Fallback>
        </mc:AlternateContent>
      </w:r>
    </w:p>
    <w:p w14:paraId="169902C1" w14:textId="77777777" w:rsidR="00EC7850" w:rsidRPr="00391F5B" w:rsidRDefault="00EC7850" w:rsidP="00EC7850">
      <w:pPr>
        <w:pStyle w:val="Heading2"/>
      </w:pPr>
      <w:bookmarkStart w:id="32" w:name="_Toc511217276"/>
      <w:r w:rsidRPr="00391F5B">
        <w:t>Measuring and targets: Are we measuring the right things?</w:t>
      </w:r>
      <w:bookmarkEnd w:id="32"/>
    </w:p>
    <w:p w14:paraId="304D2C81" w14:textId="1A2DA08B" w:rsidR="00587F13" w:rsidRDefault="002A12F0" w:rsidP="000677CE">
      <w:r>
        <w:t>Vision 2020 Australia members support the recommendation from t</w:t>
      </w:r>
      <w:r w:rsidR="009E27DD">
        <w:t xml:space="preserve">he </w:t>
      </w:r>
      <w:r w:rsidR="0013598B">
        <w:t>CTC CSC</w:t>
      </w:r>
      <w:r>
        <w:t xml:space="preserve"> that there should be</w:t>
      </w:r>
      <w:r w:rsidR="009E27DD">
        <w:t xml:space="preserve"> closer examination</w:t>
      </w:r>
      <w:r w:rsidR="00AE2807">
        <w:t xml:space="preserve"> and tracking</w:t>
      </w:r>
      <w:r w:rsidR="00EC7850">
        <w:t xml:space="preserve"> of inputs to health</w:t>
      </w:r>
      <w:r w:rsidR="009E27DD">
        <w:t xml:space="preserve"> including expenditure of </w:t>
      </w:r>
      <w:r w:rsidR="009E27DD" w:rsidRPr="00395339">
        <w:t>primary health care services, health workforce and health enabling infrastructure</w:t>
      </w:r>
      <w:r w:rsidR="009E27DD">
        <w:t>. T</w:t>
      </w:r>
      <w:r w:rsidR="00587F13">
        <w:t>he CTG</w:t>
      </w:r>
      <w:r w:rsidR="009E27DD">
        <w:t xml:space="preserve"> CSC </w:t>
      </w:r>
      <w:r w:rsidR="00587F13">
        <w:t>notes “two major inputs to achieve sustainable improvements to the health of any population are health goods and services (and particularly primary health care) and health infrastructure (including housing).”</w:t>
      </w:r>
      <w:r w:rsidR="009E27DD">
        <w:rPr>
          <w:rStyle w:val="FootnoteReference"/>
        </w:rPr>
        <w:footnoteReference w:id="22"/>
      </w:r>
    </w:p>
    <w:p w14:paraId="29DEA706" w14:textId="094A4309" w:rsidR="008F4191" w:rsidRDefault="008F4191" w:rsidP="009E27DD">
      <w:pPr>
        <w:rPr>
          <w:u w:val="single"/>
        </w:rPr>
      </w:pPr>
    </w:p>
    <w:p w14:paraId="77B18232" w14:textId="60975D2E" w:rsidR="009E27DD" w:rsidRPr="000677CE" w:rsidRDefault="00DD055D" w:rsidP="00CD49C9">
      <w:pPr>
        <w:pStyle w:val="Heading2"/>
      </w:pPr>
      <w:bookmarkStart w:id="33" w:name="_Toc511217277"/>
      <w:r>
        <w:t xml:space="preserve">Indicators that are </w:t>
      </w:r>
      <w:r w:rsidR="009E27DD">
        <w:t>hard to m</w:t>
      </w:r>
      <w:r w:rsidR="00005FEB">
        <w:t>easur</w:t>
      </w:r>
      <w:r w:rsidR="009E27DD">
        <w:t>e</w:t>
      </w:r>
      <w:bookmarkEnd w:id="33"/>
    </w:p>
    <w:p w14:paraId="6FDCB704" w14:textId="01BD5C9D" w:rsidR="003A2944" w:rsidRPr="00395339" w:rsidRDefault="009E27DD" w:rsidP="003A2944">
      <w:r w:rsidRPr="009E27DD">
        <w:t xml:space="preserve">Vision </w:t>
      </w:r>
      <w:r>
        <w:t xml:space="preserve">2020 Australia members noted that measuring health outcomes through access to health services is difficult because it is hard to measure </w:t>
      </w:r>
      <w:r w:rsidR="00516E0C">
        <w:t xml:space="preserve">factors </w:t>
      </w:r>
      <w:r>
        <w:t>like i</w:t>
      </w:r>
      <w:r w:rsidR="00051C3C">
        <w:t>nstitutional racism</w:t>
      </w:r>
      <w:r>
        <w:t>.</w:t>
      </w:r>
      <w:r w:rsidR="009F41A8">
        <w:rPr>
          <w:rStyle w:val="FootnoteReference"/>
        </w:rPr>
        <w:footnoteReference w:id="23"/>
      </w:r>
      <w:r>
        <w:t xml:space="preserve"> </w:t>
      </w:r>
      <w:r w:rsidR="000677CE">
        <w:t>A broader framework is required</w:t>
      </w:r>
      <w:r w:rsidR="003A2944">
        <w:t xml:space="preserve"> to </w:t>
      </w:r>
      <w:r w:rsidR="00EC7850">
        <w:t xml:space="preserve">examine </w:t>
      </w:r>
      <w:r w:rsidR="00DD055D">
        <w:t xml:space="preserve">issues that contribute to </w:t>
      </w:r>
      <w:r w:rsidR="003A2944">
        <w:t>unequal health outcomes.</w:t>
      </w:r>
    </w:p>
    <w:p w14:paraId="0166023A" w14:textId="77777777" w:rsidR="00005FEB" w:rsidRDefault="00005FEB" w:rsidP="00005FEB"/>
    <w:p w14:paraId="41702298" w14:textId="7D9F0484" w:rsidR="00005FEB" w:rsidRDefault="003A2944" w:rsidP="00005FEB">
      <w:r>
        <w:t>A</w:t>
      </w:r>
      <w:r w:rsidR="00005FEB">
        <w:t xml:space="preserve">ccess to health services can be hard to quantify when </w:t>
      </w:r>
      <w:r w:rsidR="003F3C29">
        <w:t xml:space="preserve">services </w:t>
      </w:r>
      <w:r w:rsidR="00005FEB">
        <w:t>are not culturally safe</w:t>
      </w:r>
      <w:r>
        <w:t>.</w:t>
      </w:r>
      <w:r w:rsidR="00EE24C9">
        <w:rPr>
          <w:rStyle w:val="FootnoteReference"/>
        </w:rPr>
        <w:footnoteReference w:id="24"/>
      </w:r>
      <w:r>
        <w:t xml:space="preserve"> While there might be a number of </w:t>
      </w:r>
      <w:r w:rsidR="00005FEB">
        <w:t>service</w:t>
      </w:r>
      <w:r>
        <w:t xml:space="preserve">s </w:t>
      </w:r>
      <w:r w:rsidR="00005FEB">
        <w:t>in a</w:t>
      </w:r>
      <w:r>
        <w:t xml:space="preserve"> particular area, they are effectively inaccessible if people do</w:t>
      </w:r>
      <w:r w:rsidR="009F41A8">
        <w:t xml:space="preserve"> </w:t>
      </w:r>
      <w:r>
        <w:t>n</w:t>
      </w:r>
      <w:r w:rsidR="00E202A4">
        <w:t>o</w:t>
      </w:r>
      <w:r>
        <w:t xml:space="preserve">t feel safe using them. A member gave an example of </w:t>
      </w:r>
      <w:r w:rsidR="00005FEB">
        <w:t xml:space="preserve">a regional area that was well serviced with hospitals and health services. However, these services had a reputation for </w:t>
      </w:r>
      <w:r w:rsidR="003F3C29">
        <w:t xml:space="preserve">engaging ineffectively with </w:t>
      </w:r>
      <w:r w:rsidR="00005FEB">
        <w:t>Aboriginal community members and</w:t>
      </w:r>
      <w:r w:rsidR="008D7E76">
        <w:t>,</w:t>
      </w:r>
      <w:r w:rsidR="00005FEB">
        <w:t xml:space="preserve"> </w:t>
      </w:r>
      <w:r w:rsidR="008D7E76">
        <w:t xml:space="preserve">as a result, </w:t>
      </w:r>
      <w:r w:rsidR="003F3C29">
        <w:t xml:space="preserve">Aboriginal </w:t>
      </w:r>
      <w:r w:rsidR="008D7E76">
        <w:t>people did not access the</w:t>
      </w:r>
      <w:r w:rsidR="003F3C29">
        <w:t xml:space="preserve"> services</w:t>
      </w:r>
      <w:r w:rsidR="00005FEB">
        <w:t>.</w:t>
      </w:r>
    </w:p>
    <w:p w14:paraId="587D3A95" w14:textId="5A2EB24E" w:rsidR="00516E0C" w:rsidRDefault="00516E0C" w:rsidP="00005FEB"/>
    <w:p w14:paraId="4C7B3D77" w14:textId="630821E1" w:rsidR="00516E0C" w:rsidRDefault="00516E0C" w:rsidP="00005FEB">
      <w:r>
        <w:t xml:space="preserve">While some of these problems are well known by those working </w:t>
      </w:r>
      <w:r w:rsidR="000C28AE">
        <w:t>in Aboriginal health, re</w:t>
      </w:r>
      <w:r w:rsidR="001B6D9B">
        <w:t xml:space="preserve">action </w:t>
      </w:r>
      <w:r w:rsidR="00A62CB5">
        <w:t xml:space="preserve">to </w:t>
      </w:r>
      <w:r w:rsidR="000C28AE">
        <w:t xml:space="preserve">NSW Health’s </w:t>
      </w:r>
      <w:r w:rsidR="001B6D9B">
        <w:t xml:space="preserve">announcement that they would create </w:t>
      </w:r>
      <w:r w:rsidR="000C28AE">
        <w:t xml:space="preserve">culturally </w:t>
      </w:r>
      <w:r w:rsidR="001B6D9B">
        <w:t xml:space="preserve">appropriate waiting </w:t>
      </w:r>
      <w:r w:rsidR="000C28AE">
        <w:t xml:space="preserve">rooms </w:t>
      </w:r>
      <w:r w:rsidR="001B6D9B">
        <w:t xml:space="preserve">in </w:t>
      </w:r>
      <w:r w:rsidR="001B6D9B">
        <w:lastRenderedPageBreak/>
        <w:t xml:space="preserve">hospitals </w:t>
      </w:r>
      <w:r w:rsidR="00F63BC8">
        <w:t>indicate</w:t>
      </w:r>
      <w:r w:rsidR="001B6D9B">
        <w:t>d</w:t>
      </w:r>
      <w:r w:rsidR="00F63BC8">
        <w:t xml:space="preserve"> that problems like </w:t>
      </w:r>
      <w:r w:rsidR="00A62CB5">
        <w:t xml:space="preserve">institutional racism and </w:t>
      </w:r>
      <w:r w:rsidR="00F63BC8">
        <w:t>culturally safety are not widely understood or accepted.</w:t>
      </w:r>
      <w:r w:rsidR="001B6D9B">
        <w:rPr>
          <w:rStyle w:val="FootnoteReference"/>
        </w:rPr>
        <w:footnoteReference w:id="25"/>
      </w:r>
    </w:p>
    <w:p w14:paraId="269A319D" w14:textId="77777777" w:rsidR="00005FEB" w:rsidRDefault="00005FEB" w:rsidP="00005FEB"/>
    <w:p w14:paraId="2EAA4A31" w14:textId="1AB7D12E" w:rsidR="00005FEB" w:rsidRPr="00395339" w:rsidRDefault="00005FEB" w:rsidP="00005FEB">
      <w:r w:rsidRPr="00395339">
        <w:t xml:space="preserve">In line with Recommendation 3 </w:t>
      </w:r>
      <w:r w:rsidR="003A2944">
        <w:t xml:space="preserve">made by the CTG SCS, </w:t>
      </w:r>
      <w:r w:rsidR="000256BE">
        <w:t>the government n</w:t>
      </w:r>
      <w:r w:rsidR="003A2944">
        <w:t>eed</w:t>
      </w:r>
      <w:r w:rsidR="000256BE">
        <w:t>s</w:t>
      </w:r>
      <w:r w:rsidR="003A2944">
        <w:t xml:space="preserve"> to </w:t>
      </w:r>
      <w:r w:rsidRPr="00395339">
        <w:t>measur</w:t>
      </w:r>
      <w:r w:rsidR="003A2944">
        <w:t xml:space="preserve">e </w:t>
      </w:r>
      <w:r w:rsidRPr="00395339">
        <w:t xml:space="preserve">equality of access to health goods and services and health infrastructure. </w:t>
      </w:r>
      <w:r w:rsidR="009E361A" w:rsidRPr="009E361A">
        <w:t xml:space="preserve">The mechanisms for measuring equality of access should be determined in partnership with Aboriginal and Torres Strait Islander health leaders and organisations. </w:t>
      </w:r>
      <w:r w:rsidRPr="00395339">
        <w:t>In relation to equity in eye health, this includes sufficiently funded and resourced culturally safe services and workforce to me</w:t>
      </w:r>
      <w:r w:rsidR="000346CC">
        <w:t>et regionally identified needs.</w:t>
      </w:r>
    </w:p>
    <w:p w14:paraId="55ED1896" w14:textId="500034F1" w:rsidR="00E42826" w:rsidRDefault="00E42826" w:rsidP="00F27840"/>
    <w:p w14:paraId="45B372E8" w14:textId="6F1D870F" w:rsidR="004715BD" w:rsidRDefault="001638E4" w:rsidP="00F27840">
      <w:r>
        <w:rPr>
          <w:noProof/>
          <w:lang w:eastAsia="en-AU"/>
        </w:rPr>
        <mc:AlternateContent>
          <mc:Choice Requires="wps">
            <w:drawing>
              <wp:inline distT="0" distB="0" distL="0" distR="0" wp14:anchorId="5AD33BF7" wp14:editId="74B053C2">
                <wp:extent cx="5741670" cy="1759585"/>
                <wp:effectExtent l="0" t="0" r="11430" b="12065"/>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670" cy="1759585"/>
                        </a:xfrm>
                        <a:prstGeom prst="rect">
                          <a:avLst/>
                        </a:prstGeom>
                        <a:solidFill>
                          <a:schemeClr val="accent2"/>
                        </a:solidFill>
                        <a:ln w="19050">
                          <a:solidFill>
                            <a:schemeClr val="accent3"/>
                          </a:solidFill>
                          <a:miter lim="800000"/>
                          <a:headEnd/>
                          <a:tailEnd/>
                        </a:ln>
                      </wps:spPr>
                      <wps:txbx>
                        <w:txbxContent>
                          <w:p w14:paraId="13B7BE6B" w14:textId="77777777" w:rsidR="001638E4" w:rsidRPr="00A62CB5" w:rsidRDefault="001638E4" w:rsidP="001638E4">
                            <w:pPr>
                              <w:rPr>
                                <w:b/>
                                <w:i/>
                              </w:rPr>
                            </w:pPr>
                            <w:r w:rsidRPr="00A62CB5">
                              <w:rPr>
                                <w:b/>
                                <w:i/>
                              </w:rPr>
                              <w:t>Good practice examples</w:t>
                            </w:r>
                          </w:p>
                          <w:p w14:paraId="0B10D8C1" w14:textId="77777777" w:rsidR="001638E4" w:rsidRDefault="001638E4" w:rsidP="001638E4"/>
                          <w:p w14:paraId="20581B56" w14:textId="77777777" w:rsidR="001638E4" w:rsidRDefault="001638E4" w:rsidP="001638E4">
                            <w:r>
                              <w:t>Service delivery that overcomes systemic access issues include the IDEAS (Indigenous diabetes eyes and screening) Van in Queensland, the Lions Outback Vision outreach service in Western Australia and the Eye Health and Chronic Disease Specialist Support Program in South Australia. While each of these services operate differently in scale and practice, they say their success is based on providing services that link closely with and are supported by local ACCHOs. This includes logistics and coordination support, as well as advice from the local ACCHO to the visiting service on local community issues and cultural sensitivity.</w:t>
                            </w:r>
                          </w:p>
                        </w:txbxContent>
                      </wps:txbx>
                      <wps:bodyPr rot="0" vert="horz" wrap="square" lIns="91440" tIns="45720" rIns="91440" bIns="45720" anchor="t" anchorCtr="0">
                        <a:noAutofit/>
                      </wps:bodyPr>
                    </wps:wsp>
                  </a:graphicData>
                </a:graphic>
              </wp:inline>
            </w:drawing>
          </mc:Choice>
          <mc:Fallback>
            <w:pict>
              <v:shape w14:anchorId="5AD33BF7" id="_x0000_s1033" type="#_x0000_t202" style="width:452.1pt;height:13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" fillcolor="#ffe384 [3205]" strokecolor="#32619d [3206]" strokeweight="1.5pt">
                <v:textbox>
                  <w:txbxContent>
                    <w:p w14:paraId="13B7BE6B" w14:textId="77777777" w:rsidR="001638E4" w:rsidRPr="00A62CB5" w:rsidRDefault="001638E4" w:rsidP="001638E4">
                      <w:pPr>
                        <w:rPr>
                          <w:b/>
                          <w:i/>
                        </w:rPr>
                      </w:pPr>
                      <w:r w:rsidRPr="00A62CB5">
                        <w:rPr>
                          <w:b/>
                          <w:i/>
                        </w:rPr>
                        <w:t>Good practice examples</w:t>
                      </w:r>
                    </w:p>
                    <w:p w14:paraId="0B10D8C1" w14:textId="77777777" w:rsidR="001638E4" w:rsidRDefault="001638E4" w:rsidP="001638E4"/>
                    <w:p w14:paraId="20581B56" w14:textId="77777777" w:rsidR="001638E4" w:rsidRDefault="001638E4" w:rsidP="001638E4">
                      <w:r>
                        <w:t>Service delivery that overcomes systemic access issues include the IDEAS (Indigenous diabetes eyes and screening) Van in Queensland, the Lions Outback Vision outreach service in Western Australia and the Eye Health and Chronic Disease Specialist Support Program in South Australia. While each of these services operate differently in scale and practice, they say their success is based on providing services that link closely with and are supported by local ACCHOs. This includes logistics and coordination support, as well as advice from the local ACCHO to the visiting service on local community issues and cultural sensitivity.</w:t>
                      </w:r>
                    </w:p>
                  </w:txbxContent>
                </v:textbox>
                <w10:anchorlock/>
              </v:shape>
            </w:pict>
          </mc:Fallback>
        </mc:AlternateContent>
      </w:r>
    </w:p>
    <w:p w14:paraId="2C18D3BC" w14:textId="77777777" w:rsidR="006104DD" w:rsidRPr="00DD055D" w:rsidRDefault="00005FEB" w:rsidP="00CD49C9">
      <w:pPr>
        <w:pStyle w:val="Heading2"/>
      </w:pPr>
      <w:bookmarkStart w:id="34" w:name="_Toc511217278"/>
      <w:r w:rsidRPr="00DD055D">
        <w:t>Measuring p</w:t>
      </w:r>
      <w:r w:rsidR="006104DD" w:rsidRPr="00DD055D">
        <w:t>rosperity</w:t>
      </w:r>
      <w:r w:rsidRPr="00DD055D">
        <w:t xml:space="preserve"> and</w:t>
      </w:r>
      <w:r w:rsidR="006104DD" w:rsidRPr="00DD055D">
        <w:t xml:space="preserve"> aspirations</w:t>
      </w:r>
      <w:bookmarkEnd w:id="34"/>
    </w:p>
    <w:p w14:paraId="4F7F9D53" w14:textId="77777777" w:rsidR="00DD055D" w:rsidRDefault="00DD055D" w:rsidP="006104DD">
      <w:r>
        <w:t xml:space="preserve">The </w:t>
      </w:r>
      <w:r w:rsidRPr="00DD055D">
        <w:t>Sustainable Development Goal on Health and Wellbeing</w:t>
      </w:r>
      <w:r>
        <w:t xml:space="preserve"> captures the connection between health and prosperity in this way:</w:t>
      </w:r>
    </w:p>
    <w:p w14:paraId="6DC364AC" w14:textId="77777777" w:rsidR="00DD055D" w:rsidRDefault="00DD055D" w:rsidP="006104DD"/>
    <w:p w14:paraId="7BFA0D6C" w14:textId="77777777" w:rsidR="00DD055D" w:rsidRPr="00F95BE0" w:rsidRDefault="00DD055D" w:rsidP="00F95BE0">
      <w:pPr>
        <w:ind w:left="567" w:right="567"/>
        <w:rPr>
          <w:i/>
        </w:rPr>
      </w:pPr>
      <w:r w:rsidRPr="00F95BE0">
        <w:rPr>
          <w:i/>
        </w:rPr>
        <w:t>Ensuring healthy lives and promoting well-being for all at all ages is important to</w:t>
      </w:r>
      <w:r w:rsidR="00F95BE0" w:rsidRPr="00F95BE0">
        <w:rPr>
          <w:i/>
        </w:rPr>
        <w:t xml:space="preserve"> building prosperous societies.</w:t>
      </w:r>
      <w:r w:rsidR="00F95BE0">
        <w:rPr>
          <w:rStyle w:val="FootnoteReference"/>
          <w:i/>
        </w:rPr>
        <w:footnoteReference w:id="26"/>
      </w:r>
    </w:p>
    <w:p w14:paraId="42E1DAA6" w14:textId="77777777" w:rsidR="00DD055D" w:rsidRDefault="00DD055D" w:rsidP="006104DD"/>
    <w:p w14:paraId="7AC580CC" w14:textId="4C2B879A" w:rsidR="00EC7850" w:rsidRDefault="0092693E" w:rsidP="00F27840">
      <w:r w:rsidRPr="00DD055D">
        <w:t xml:space="preserve">Vision 2020 </w:t>
      </w:r>
      <w:r w:rsidR="00255006">
        <w:t>Australia m</w:t>
      </w:r>
      <w:r w:rsidRPr="00DD055D">
        <w:t xml:space="preserve">embers noted the complexity of measuring prosperity and aspirations </w:t>
      </w:r>
      <w:r w:rsidR="001D39CC">
        <w:t>as part of Close the Gap</w:t>
      </w:r>
      <w:r w:rsidR="00836823">
        <w:t>, when there is still so much to be done around</w:t>
      </w:r>
      <w:r w:rsidR="00F523AD">
        <w:t xml:space="preserve"> equality of</w:t>
      </w:r>
      <w:r w:rsidR="00836823">
        <w:t xml:space="preserve"> access to</w:t>
      </w:r>
      <w:r w:rsidR="00F523AD">
        <w:t xml:space="preserve"> health services and health infrastructure, and</w:t>
      </w:r>
      <w:r w:rsidR="00836823">
        <w:t xml:space="preserve"> culturally safe </w:t>
      </w:r>
      <w:r w:rsidR="00D1496C">
        <w:t xml:space="preserve">eye care </w:t>
      </w:r>
      <w:r w:rsidR="00836823">
        <w:t>services for Aboriginal and Torres Strait Islander people</w:t>
      </w:r>
      <w:r w:rsidR="001D39CC">
        <w:t xml:space="preserve">. </w:t>
      </w:r>
      <w:r w:rsidR="00836823">
        <w:t xml:space="preserve">While prosperity is important, in </w:t>
      </w:r>
      <w:r w:rsidR="001D39CC">
        <w:t>the view of V</w:t>
      </w:r>
      <w:r w:rsidR="003F3C29">
        <w:t xml:space="preserve">ision </w:t>
      </w:r>
      <w:r w:rsidR="001D39CC">
        <w:t>2020</w:t>
      </w:r>
      <w:r w:rsidR="003F3C29">
        <w:t xml:space="preserve"> </w:t>
      </w:r>
      <w:r w:rsidR="001D39CC">
        <w:t>A</w:t>
      </w:r>
      <w:r w:rsidR="003F3C29">
        <w:t>ustralia</w:t>
      </w:r>
      <w:r w:rsidR="001D39CC">
        <w:t xml:space="preserve"> members, there are a number of steps that need to be taken to ensure that Aboriginal and Torres Strait Islander communities have access to </w:t>
      </w:r>
      <w:r w:rsidR="00836823">
        <w:t>basic health infrastructure</w:t>
      </w:r>
      <w:r w:rsidR="00622C35">
        <w:t xml:space="preserve"> to build prosperity</w:t>
      </w:r>
      <w:r w:rsidR="00836823">
        <w:t>.</w:t>
      </w:r>
    </w:p>
    <w:p w14:paraId="2BA77E96" w14:textId="77777777" w:rsidR="00EC7850" w:rsidRDefault="00EC7850">
      <w:pPr>
        <w:spacing w:before="80" w:after="80"/>
      </w:pPr>
      <w:r>
        <w:br w:type="page"/>
      </w:r>
    </w:p>
    <w:p w14:paraId="18BCFAC9" w14:textId="18A70E0F" w:rsidR="005A59E3" w:rsidRDefault="00005FEB" w:rsidP="00EC7850">
      <w:pPr>
        <w:pStyle w:val="Heading2"/>
      </w:pPr>
      <w:bookmarkStart w:id="35" w:name="_Toc511217279"/>
      <w:r w:rsidRPr="00B1124E">
        <w:lastRenderedPageBreak/>
        <w:t xml:space="preserve">Tangible </w:t>
      </w:r>
      <w:r w:rsidR="006104DD" w:rsidRPr="00B1124E">
        <w:t>Indicators</w:t>
      </w:r>
      <w:bookmarkEnd w:id="35"/>
    </w:p>
    <w:p w14:paraId="754186B8" w14:textId="4FFB8C6A" w:rsidR="005D0356" w:rsidRDefault="004A0A39" w:rsidP="00F27840">
      <w:r>
        <w:rPr>
          <w:noProof/>
        </w:rPr>
        <mc:AlternateContent>
          <mc:Choice Requires="wps">
            <w:drawing>
              <wp:inline distT="0" distB="0" distL="0" distR="0" wp14:anchorId="0046A0AB" wp14:editId="353CC906">
                <wp:extent cx="6120130" cy="1852630"/>
                <wp:effectExtent l="0" t="0" r="13970" b="14605"/>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1852630"/>
                        </a:xfrm>
                        <a:prstGeom prst="rect">
                          <a:avLst/>
                        </a:prstGeom>
                        <a:solidFill>
                          <a:schemeClr val="accent2"/>
                        </a:solidFill>
                        <a:ln>
                          <a:headEnd/>
                          <a:tailEnd/>
                        </a:ln>
                      </wps:spPr>
                      <wps:style>
                        <a:lnRef idx="2">
                          <a:schemeClr val="accent1"/>
                        </a:lnRef>
                        <a:fillRef idx="1">
                          <a:schemeClr val="lt1"/>
                        </a:fillRef>
                        <a:effectRef idx="0">
                          <a:schemeClr val="accent1"/>
                        </a:effectRef>
                        <a:fontRef idx="minor">
                          <a:schemeClr val="dk1"/>
                        </a:fontRef>
                      </wps:style>
                      <wps:txbx>
                        <w:txbxContent>
                          <w:p w14:paraId="502924C8" w14:textId="77777777" w:rsidR="004A0A39" w:rsidRDefault="004A0A39" w:rsidP="004A0A39">
                            <w:r>
                              <w:t>Recommendations:</w:t>
                            </w:r>
                          </w:p>
                          <w:p w14:paraId="5574EF7C" w14:textId="77777777" w:rsidR="004A0A39" w:rsidRDefault="004A0A39" w:rsidP="004A0A39">
                            <w:pPr>
                              <w:pStyle w:val="ListParagraph0"/>
                              <w:numPr>
                                <w:ilvl w:val="0"/>
                                <w:numId w:val="24"/>
                              </w:numPr>
                            </w:pPr>
                            <w:r>
                              <w:t>Consider the i</w:t>
                            </w:r>
                            <w:r w:rsidRPr="002A0938">
                              <w:t>ndicators</w:t>
                            </w:r>
                            <w:r>
                              <w:t xml:space="preserve"> for Aboriginal and Torres Strait Islander eye health and vision care as detailed in the Roadmap to Close the Gap for Vision 2017 in the refreshed Closing the Gap strategy.</w:t>
                            </w:r>
                          </w:p>
                          <w:p w14:paraId="0214584B" w14:textId="77777777" w:rsidR="004A0A39" w:rsidRDefault="004A0A39" w:rsidP="004A0A39">
                            <w:pPr>
                              <w:pStyle w:val="ListParagraph0"/>
                              <w:numPr>
                                <w:ilvl w:val="0"/>
                                <w:numId w:val="24"/>
                              </w:numPr>
                            </w:pPr>
                            <w:r>
                              <w:t>Include Aboriginal and Torres Strait Islander health leadership in the development of indicators for the refreshed Closing the Gap strategy.</w:t>
                            </w:r>
                          </w:p>
                          <w:p w14:paraId="618BEC77" w14:textId="77777777" w:rsidR="004A0A39" w:rsidRDefault="004A0A39" w:rsidP="004A0A39">
                            <w:pPr>
                              <w:pStyle w:val="ListParagraph0"/>
                              <w:numPr>
                                <w:ilvl w:val="0"/>
                                <w:numId w:val="24"/>
                              </w:numPr>
                            </w:pPr>
                            <w:r>
                              <w:t>Invest in data collection and analysis about eye health to support the refreshed Closing the Gap strategy.</w:t>
                            </w:r>
                          </w:p>
                        </w:txbxContent>
                      </wps:txbx>
                      <wps:bodyPr rot="0" vert="horz" wrap="square" lIns="91440" tIns="45720" rIns="91440" bIns="45720" anchor="t" anchorCtr="0">
                        <a:noAutofit/>
                      </wps:bodyPr>
                    </wps:wsp>
                  </a:graphicData>
                </a:graphic>
              </wp:inline>
            </w:drawing>
          </mc:Choice>
          <mc:Fallback>
            <w:pict>
              <v:shape w14:anchorId="0046A0AB" id="_x0000_s1034" type="#_x0000_t202" style="width:481.9pt;height:14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" fillcolor="#ffe384 [3205]" strokecolor="#004b8d [3204]" strokeweight="2pt">
                <v:textbox>
                  <w:txbxContent>
                    <w:p w14:paraId="502924C8" w14:textId="77777777" w:rsidR="004A0A39" w:rsidRDefault="004A0A39" w:rsidP="004A0A39">
                      <w:r>
                        <w:t>Recommendations:</w:t>
                      </w:r>
                    </w:p>
                    <w:p w14:paraId="5574EF7C" w14:textId="77777777" w:rsidR="004A0A39" w:rsidRDefault="004A0A39" w:rsidP="004A0A39">
                      <w:pPr>
                        <w:pStyle w:val="ListParagraph0"/>
                        <w:numPr>
                          <w:ilvl w:val="0"/>
                          <w:numId w:val="24"/>
                        </w:numPr>
                      </w:pPr>
                      <w:r>
                        <w:t>Consider the i</w:t>
                      </w:r>
                      <w:r w:rsidRPr="002A0938">
                        <w:t>ndicators</w:t>
                      </w:r>
                      <w:r>
                        <w:t xml:space="preserve"> for Aboriginal and Torres Strait Islander eye health and vision care as detailed in the Roadmap to Close the Gap for Vision 2017 in the refreshed Closing the Gap strategy.</w:t>
                      </w:r>
                    </w:p>
                    <w:p w14:paraId="0214584B" w14:textId="77777777" w:rsidR="004A0A39" w:rsidRDefault="004A0A39" w:rsidP="004A0A39">
                      <w:pPr>
                        <w:pStyle w:val="ListParagraph0"/>
                        <w:numPr>
                          <w:ilvl w:val="0"/>
                          <w:numId w:val="24"/>
                        </w:numPr>
                      </w:pPr>
                      <w:r>
                        <w:t>Include Aboriginal and Torres Strait Islander health leadership in the development of indicators for the refreshed Closing the Gap strategy.</w:t>
                      </w:r>
                    </w:p>
                    <w:p w14:paraId="618BEC77" w14:textId="77777777" w:rsidR="004A0A39" w:rsidRDefault="004A0A39" w:rsidP="004A0A39">
                      <w:pPr>
                        <w:pStyle w:val="ListParagraph0"/>
                        <w:numPr>
                          <w:ilvl w:val="0"/>
                          <w:numId w:val="24"/>
                        </w:numPr>
                      </w:pPr>
                      <w:r>
                        <w:t>Invest in data collection and analysis about eye health to support the refreshed Closing the Gap strategy.</w:t>
                      </w:r>
                    </w:p>
                  </w:txbxContent>
                </v:textbox>
                <w10:anchorlock/>
              </v:shape>
            </w:pict>
          </mc:Fallback>
        </mc:AlternateContent>
      </w:r>
    </w:p>
    <w:p w14:paraId="6EA263CA" w14:textId="0876266A" w:rsidR="00A7409C" w:rsidRDefault="00A7409C" w:rsidP="00F27840"/>
    <w:p w14:paraId="6106B993" w14:textId="5D304F07" w:rsidR="00DC27BA" w:rsidRDefault="003F3C29" w:rsidP="00F27840">
      <w:r>
        <w:t>Vision 2020 Australia support the following indicators in relation to measuring eye health and vision care as part of the Close the Gap initiative:</w:t>
      </w:r>
    </w:p>
    <w:p w14:paraId="0C77E66E" w14:textId="3C17D7B4" w:rsidR="00DC27BA" w:rsidRDefault="00F5358C" w:rsidP="005D0356">
      <w:pPr>
        <w:pStyle w:val="ListParagraph0"/>
        <w:numPr>
          <w:ilvl w:val="0"/>
          <w:numId w:val="18"/>
        </w:numPr>
      </w:pPr>
      <w:r>
        <w:t xml:space="preserve">Increase in the number adult health checks (Medicare Benefits Scheme 715) </w:t>
      </w:r>
    </w:p>
    <w:p w14:paraId="79BAE1CA" w14:textId="57EFA05B" w:rsidR="00F5358C" w:rsidRDefault="00F5358C" w:rsidP="005D0356">
      <w:pPr>
        <w:pStyle w:val="ListParagraph0"/>
        <w:numPr>
          <w:ilvl w:val="0"/>
          <w:numId w:val="18"/>
        </w:numPr>
      </w:pPr>
      <w:r>
        <w:t>Increase in retinal examinations for Aboriginal and Torres Strait Islander peop</w:t>
      </w:r>
      <w:r w:rsidR="003F3C29">
        <w:t>le with diabetes</w:t>
      </w:r>
    </w:p>
    <w:p w14:paraId="28BE6779" w14:textId="5576CE65" w:rsidR="00FC0E16" w:rsidRDefault="00B1124E" w:rsidP="005D0356">
      <w:pPr>
        <w:pStyle w:val="ListParagraph0"/>
        <w:numPr>
          <w:ilvl w:val="0"/>
          <w:numId w:val="17"/>
        </w:numPr>
      </w:pPr>
      <w:r>
        <w:t>Cataract surgery rate</w:t>
      </w:r>
      <w:r w:rsidR="0005588B">
        <w:t xml:space="preserve"> for Aboriginal and Torres Strait</w:t>
      </w:r>
      <w:r w:rsidR="00622C35">
        <w:t xml:space="preserve"> Islander people </w:t>
      </w:r>
      <w:r w:rsidR="00EC7850">
        <w:t xml:space="preserve">compared with </w:t>
      </w:r>
      <w:r w:rsidR="0005588B">
        <w:t xml:space="preserve">the </w:t>
      </w:r>
      <w:r w:rsidR="00622C35">
        <w:t xml:space="preserve">rate for </w:t>
      </w:r>
      <w:r w:rsidR="0005588B">
        <w:t xml:space="preserve">non-Indigenous </w:t>
      </w:r>
      <w:r w:rsidR="00622C35">
        <w:t>people</w:t>
      </w:r>
    </w:p>
    <w:p w14:paraId="0948EBF8" w14:textId="79AAFBD6" w:rsidR="00B1124E" w:rsidRDefault="00FC0E16" w:rsidP="005D0356">
      <w:pPr>
        <w:pStyle w:val="ListParagraph0"/>
        <w:numPr>
          <w:ilvl w:val="0"/>
          <w:numId w:val="17"/>
        </w:numPr>
      </w:pPr>
      <w:r>
        <w:t>Cataract surgery occurring wi</w:t>
      </w:r>
      <w:r w:rsidR="0005588B">
        <w:t>thin 90 days of booking</w:t>
      </w:r>
    </w:p>
    <w:p w14:paraId="58E73209" w14:textId="49DD97C5" w:rsidR="00B1124E" w:rsidRDefault="00B1124E" w:rsidP="005D0356">
      <w:pPr>
        <w:pStyle w:val="ListParagraph0"/>
        <w:numPr>
          <w:ilvl w:val="0"/>
          <w:numId w:val="17"/>
        </w:numPr>
      </w:pPr>
      <w:r>
        <w:t>Visiting optometry days</w:t>
      </w:r>
      <w:r w:rsidR="00FC0E16">
        <w:t xml:space="preserve"> in rural and remote communities</w:t>
      </w:r>
    </w:p>
    <w:p w14:paraId="38776ECB" w14:textId="7C1D63D8" w:rsidR="00B1124E" w:rsidRDefault="00B1124E" w:rsidP="005D0356">
      <w:pPr>
        <w:pStyle w:val="ListParagraph0"/>
        <w:numPr>
          <w:ilvl w:val="0"/>
          <w:numId w:val="17"/>
        </w:numPr>
      </w:pPr>
      <w:r>
        <w:t>Visiting ophthalmology days</w:t>
      </w:r>
      <w:r w:rsidR="00FC0E16">
        <w:t xml:space="preserve"> in rural and remote communities</w:t>
      </w:r>
    </w:p>
    <w:p w14:paraId="27119CB1" w14:textId="77777777" w:rsidR="00F327C4" w:rsidRDefault="00B1124E" w:rsidP="005D0356">
      <w:pPr>
        <w:pStyle w:val="ListParagraph0"/>
        <w:numPr>
          <w:ilvl w:val="0"/>
          <w:numId w:val="17"/>
        </w:numPr>
      </w:pPr>
      <w:r>
        <w:t>Trachoma prevalence rates and treatment coverage</w:t>
      </w:r>
    </w:p>
    <w:p w14:paraId="49ADDD00" w14:textId="03758884" w:rsidR="00B1124E" w:rsidRDefault="00B1124E" w:rsidP="005D0356">
      <w:pPr>
        <w:pStyle w:val="ListParagraph0"/>
        <w:numPr>
          <w:ilvl w:val="0"/>
          <w:numId w:val="17"/>
        </w:numPr>
      </w:pPr>
      <w:r>
        <w:t>Treatment rate for diabetic retinopathy</w:t>
      </w:r>
    </w:p>
    <w:p w14:paraId="2E0421A4" w14:textId="77777777" w:rsidR="00005FEB" w:rsidRPr="00005FEB" w:rsidRDefault="00B1124E" w:rsidP="005D0356">
      <w:pPr>
        <w:pStyle w:val="ListParagraph0"/>
        <w:numPr>
          <w:ilvl w:val="0"/>
          <w:numId w:val="17"/>
        </w:numPr>
      </w:pPr>
      <w:r>
        <w:t>Subsidised spectacles.</w:t>
      </w:r>
      <w:r>
        <w:rPr>
          <w:rStyle w:val="FootnoteReference"/>
        </w:rPr>
        <w:footnoteReference w:id="27"/>
      </w:r>
    </w:p>
    <w:p w14:paraId="51CF046E" w14:textId="77777777" w:rsidR="00B1124E" w:rsidRDefault="00B1124E" w:rsidP="00F27840"/>
    <w:p w14:paraId="0DE9DEA2" w14:textId="3B0FAF1C" w:rsidR="007A7CFA" w:rsidRDefault="007A7CFA" w:rsidP="00F27840">
      <w:r>
        <w:t xml:space="preserve">Vision 2020 Australia members </w:t>
      </w:r>
      <w:r w:rsidR="000209EC">
        <w:t xml:space="preserve">support further investment in data collection and analysis to support </w:t>
      </w:r>
      <w:proofErr w:type="gramStart"/>
      <w:r w:rsidR="000209EC">
        <w:t>Closing</w:t>
      </w:r>
      <w:proofErr w:type="gramEnd"/>
      <w:r w:rsidR="000209EC">
        <w:t xml:space="preserve"> the Gap.</w:t>
      </w:r>
      <w:r w:rsidR="007D1BA2">
        <w:t xml:space="preserve"> This includes an ongoing commitment to the collection of national eye health and vision care data, through a </w:t>
      </w:r>
      <w:r w:rsidR="003F3C29">
        <w:t xml:space="preserve">second </w:t>
      </w:r>
      <w:r w:rsidR="007D1BA2">
        <w:t>national eye health survey and through the work of the A</w:t>
      </w:r>
      <w:r w:rsidR="003F3C29">
        <w:t xml:space="preserve">ustralian </w:t>
      </w:r>
      <w:r w:rsidR="000351FB">
        <w:t>I</w:t>
      </w:r>
      <w:r w:rsidR="003F3C29">
        <w:t xml:space="preserve">nstitute of </w:t>
      </w:r>
      <w:r w:rsidR="000351FB">
        <w:t>H</w:t>
      </w:r>
      <w:r w:rsidR="003F3C29">
        <w:t xml:space="preserve">ealth and </w:t>
      </w:r>
      <w:r w:rsidR="000351FB">
        <w:t>W</w:t>
      </w:r>
      <w:r w:rsidR="003F3C29">
        <w:t>elfare’s Indigenous Eye Health Measures.</w:t>
      </w:r>
      <w:r w:rsidR="003F3C29">
        <w:rPr>
          <w:rStyle w:val="FootnoteReference"/>
        </w:rPr>
        <w:footnoteReference w:id="28"/>
      </w:r>
      <w:r w:rsidR="009E361A">
        <w:t xml:space="preserve"> </w:t>
      </w:r>
      <w:r w:rsidR="009E361A" w:rsidRPr="009E361A">
        <w:t xml:space="preserve">Aboriginal and Torres Strait Islander leaders and health organisations should </w:t>
      </w:r>
      <w:r w:rsidR="009E361A">
        <w:t>determine, in partnership with g</w:t>
      </w:r>
      <w:r w:rsidR="009E361A" w:rsidRPr="009E361A">
        <w:t xml:space="preserve">overnment, the final health indicators included in the </w:t>
      </w:r>
      <w:r w:rsidR="009E361A">
        <w:t xml:space="preserve">refreshed </w:t>
      </w:r>
      <w:proofErr w:type="gramStart"/>
      <w:r w:rsidR="009E361A" w:rsidRPr="009E361A">
        <w:t>Closing</w:t>
      </w:r>
      <w:proofErr w:type="gramEnd"/>
      <w:r w:rsidR="009E361A" w:rsidRPr="009E361A">
        <w:t xml:space="preserve"> the Gap strategy</w:t>
      </w:r>
      <w:r w:rsidR="009E361A">
        <w:t>.</w:t>
      </w:r>
    </w:p>
    <w:p w14:paraId="600EAB31" w14:textId="7F79BCDE" w:rsidR="000351FB" w:rsidRDefault="000351FB">
      <w:pPr>
        <w:spacing w:before="80" w:after="80"/>
      </w:pPr>
      <w:r>
        <w:br w:type="page"/>
      </w:r>
    </w:p>
    <w:p w14:paraId="463C6CF9" w14:textId="7FD51E11" w:rsidR="00F27840" w:rsidRPr="00DF27DE" w:rsidRDefault="00F27840" w:rsidP="00CD49C9">
      <w:pPr>
        <w:pStyle w:val="Heading1"/>
      </w:pPr>
      <w:bookmarkStart w:id="36" w:name="_Toc511217280"/>
      <w:r w:rsidRPr="00994343">
        <w:lastRenderedPageBreak/>
        <w:t xml:space="preserve">Aboriginal and Torres Strait Islander </w:t>
      </w:r>
      <w:r w:rsidR="000351FB">
        <w:t>people with disability</w:t>
      </w:r>
      <w:bookmarkEnd w:id="36"/>
    </w:p>
    <w:p w14:paraId="61E9C6D8" w14:textId="1F2E80D2" w:rsidR="00DF27DE" w:rsidRDefault="0031699D" w:rsidP="000351FB">
      <w:pPr>
        <w:pStyle w:val="Heading2"/>
      </w:pPr>
      <w:bookmarkStart w:id="37" w:name="_Toc511217281"/>
      <w:r>
        <w:t>Intersectionality</w:t>
      </w:r>
      <w:bookmarkEnd w:id="37"/>
    </w:p>
    <w:p w14:paraId="38C6B151" w14:textId="2B1A1E35" w:rsidR="000351FB" w:rsidRDefault="00745FCB" w:rsidP="00DF27DE">
      <w:r>
        <w:rPr>
          <w:noProof/>
        </w:rPr>
        <mc:AlternateContent>
          <mc:Choice Requires="wps">
            <w:drawing>
              <wp:inline distT="0" distB="0" distL="0" distR="0" wp14:anchorId="5CD83AF4" wp14:editId="7E26EC54">
                <wp:extent cx="6057900" cy="1076325"/>
                <wp:effectExtent l="0" t="0" r="19050" b="28575"/>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76325"/>
                        </a:xfrm>
                        <a:prstGeom prst="rect">
                          <a:avLst/>
                        </a:prstGeom>
                        <a:solidFill>
                          <a:schemeClr val="accent2"/>
                        </a:solidFill>
                        <a:ln>
                          <a:headEnd/>
                          <a:tailEnd/>
                        </a:ln>
                      </wps:spPr>
                      <wps:style>
                        <a:lnRef idx="2">
                          <a:schemeClr val="accent1"/>
                        </a:lnRef>
                        <a:fillRef idx="1">
                          <a:schemeClr val="lt1"/>
                        </a:fillRef>
                        <a:effectRef idx="0">
                          <a:schemeClr val="accent1"/>
                        </a:effectRef>
                        <a:fontRef idx="minor">
                          <a:schemeClr val="dk1"/>
                        </a:fontRef>
                      </wps:style>
                      <wps:txbx>
                        <w:txbxContent>
                          <w:p w14:paraId="15F8C46D" w14:textId="77777777" w:rsidR="00745FCB" w:rsidRDefault="00745FCB" w:rsidP="00745FCB">
                            <w:r>
                              <w:t>Recommendation:</w:t>
                            </w:r>
                          </w:p>
                          <w:p w14:paraId="0394489E" w14:textId="77777777" w:rsidR="00745FCB" w:rsidRDefault="00745FCB" w:rsidP="00745FCB">
                            <w:pPr>
                              <w:pStyle w:val="ListParagraph0"/>
                              <w:numPr>
                                <w:ilvl w:val="0"/>
                                <w:numId w:val="25"/>
                              </w:numPr>
                            </w:pPr>
                            <w:r>
                              <w:t xml:space="preserve">Recognise </w:t>
                            </w:r>
                            <w:r w:rsidRPr="004A37D3">
                              <w:t>the intersectional nature of disadvantage experienced by Aboriginal and Torres Strait Islander people with disability and the health impacts of disconnection from land, culture and spiritual practices</w:t>
                            </w:r>
                            <w:r>
                              <w:t>, and include this in the refreshed Closing the Gap strategy</w:t>
                            </w:r>
                            <w:r w:rsidRPr="004A37D3">
                              <w:t>.</w:t>
                            </w:r>
                          </w:p>
                        </w:txbxContent>
                      </wps:txbx>
                      <wps:bodyPr rot="0" vert="horz" wrap="square" lIns="91440" tIns="45720" rIns="91440" bIns="45720" anchor="t" anchorCtr="0">
                        <a:noAutofit/>
                      </wps:bodyPr>
                    </wps:wsp>
                  </a:graphicData>
                </a:graphic>
              </wp:inline>
            </w:drawing>
          </mc:Choice>
          <mc:Fallback>
            <w:pict>
              <v:shape w14:anchorId="5CD83AF4" id="_x0000_s1035" type="#_x0000_t202" style="width:477pt;height:8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" fillcolor="#ffe384 [3205]" strokecolor="#004b8d [3204]" strokeweight="2pt">
                <v:textbox>
                  <w:txbxContent>
                    <w:p w14:paraId="15F8C46D" w14:textId="77777777" w:rsidR="00745FCB" w:rsidRDefault="00745FCB" w:rsidP="00745FCB">
                      <w:r>
                        <w:t>Recommendation:</w:t>
                      </w:r>
                    </w:p>
                    <w:p w14:paraId="0394489E" w14:textId="77777777" w:rsidR="00745FCB" w:rsidRDefault="00745FCB" w:rsidP="00745FCB">
                      <w:pPr>
                        <w:pStyle w:val="ListParagraph0"/>
                        <w:numPr>
                          <w:ilvl w:val="0"/>
                          <w:numId w:val="25"/>
                        </w:numPr>
                      </w:pPr>
                      <w:r>
                        <w:t xml:space="preserve">Recognise </w:t>
                      </w:r>
                      <w:r w:rsidRPr="004A37D3">
                        <w:t>the intersectional nature of disadvantage experienced by Aboriginal and Torres Strait Islander people with disability and the health impacts of disconnection from land, culture and spiritual practices</w:t>
                      </w:r>
                      <w:r>
                        <w:t>, and include this in the refreshed Closing the Gap strategy</w:t>
                      </w:r>
                      <w:r w:rsidRPr="004A37D3">
                        <w:t>.</w:t>
                      </w:r>
                    </w:p>
                  </w:txbxContent>
                </v:textbox>
                <w10:anchorlock/>
              </v:shape>
            </w:pict>
          </mc:Fallback>
        </mc:AlternateContent>
      </w:r>
      <w:r>
        <w:br/>
      </w:r>
    </w:p>
    <w:p w14:paraId="6A8F4EA0" w14:textId="0274F106" w:rsidR="00400649" w:rsidRDefault="00994343" w:rsidP="00F27840">
      <w:r>
        <w:t xml:space="preserve">In consultations for the development of the Redfern Statement, disability service providers said: </w:t>
      </w:r>
    </w:p>
    <w:p w14:paraId="16C8332F" w14:textId="19F9AA48" w:rsidR="002D5D94" w:rsidRDefault="002D5D94" w:rsidP="00994343">
      <w:pPr>
        <w:ind w:left="567" w:right="567"/>
      </w:pPr>
      <w:r w:rsidRPr="00994343">
        <w:rPr>
          <w:i/>
        </w:rPr>
        <w:t xml:space="preserve">The disadvantage experienced by Aboriginal and Torres Strait Islanders with disability and their families is intersectional. It arises because of the systemic barriers they face as a person who is both Aboriginal and Torres Strait Islander AND a person with disability. Intersectionality compounds the disadvantage, in that the systemic barriers accumulate across a person’s life. Aboriginal and Torres Strait Islanders </w:t>
      </w:r>
      <w:r w:rsidR="00255006">
        <w:rPr>
          <w:i/>
        </w:rPr>
        <w:t xml:space="preserve">with </w:t>
      </w:r>
      <w:r w:rsidRPr="00994343">
        <w:rPr>
          <w:i/>
        </w:rPr>
        <w:t xml:space="preserve">disability are, for example, many times more likely than other Indigenous persons, and many more times likely than non-Indigenous persons to experience family violence, removal from families, and to be in contact with and incarcerated </w:t>
      </w:r>
      <w:r w:rsidR="00994343" w:rsidRPr="00994343">
        <w:rPr>
          <w:i/>
        </w:rPr>
        <w:t>in the criminal justice system.</w:t>
      </w:r>
      <w:r w:rsidR="00994343">
        <w:rPr>
          <w:rStyle w:val="FootnoteReference"/>
        </w:rPr>
        <w:footnoteReference w:id="29"/>
      </w:r>
    </w:p>
    <w:p w14:paraId="19604A7F" w14:textId="55CD3CB7" w:rsidR="002D5D94" w:rsidRDefault="002D5D94" w:rsidP="00F27840"/>
    <w:p w14:paraId="3D9F255A" w14:textId="5489E622" w:rsidR="00A42387" w:rsidRDefault="00A42387" w:rsidP="00F27840">
      <w:r>
        <w:t xml:space="preserve">The Redfern Statement called on the government to work to address intersectional </w:t>
      </w:r>
      <w:r w:rsidR="006C5885">
        <w:t>discrimination</w:t>
      </w:r>
      <w:r>
        <w:t xml:space="preserve"> </w:t>
      </w:r>
      <w:r w:rsidR="006C5885">
        <w:t>by addressing the unique disadvantage experienced by Aboriginal and Torres Strait Islander people with disability, through equitable access to the National Disability Insurance Scheme and disability access targets within the Closing the Gap framework.</w:t>
      </w:r>
    </w:p>
    <w:p w14:paraId="1E16BB5D" w14:textId="005F2D9A" w:rsidR="000351FB" w:rsidRDefault="000351FB">
      <w:pPr>
        <w:spacing w:before="80" w:after="80"/>
        <w:rPr>
          <w:u w:val="single"/>
        </w:rPr>
      </w:pPr>
      <w:r>
        <w:rPr>
          <w:u w:val="single"/>
        </w:rPr>
        <w:br w:type="page"/>
      </w:r>
    </w:p>
    <w:p w14:paraId="5E652BCF" w14:textId="77777777" w:rsidR="006104DD" w:rsidRDefault="006104DD" w:rsidP="005951C5">
      <w:pPr>
        <w:rPr>
          <w:u w:val="single"/>
        </w:rPr>
      </w:pPr>
    </w:p>
    <w:p w14:paraId="691E8E5D" w14:textId="1A1E5173" w:rsidR="007C3939" w:rsidRDefault="007C3939" w:rsidP="001370F7">
      <w:pPr>
        <w:pStyle w:val="Heading1"/>
      </w:pPr>
      <w:bookmarkStart w:id="38" w:name="_Toc511217282"/>
      <w:r w:rsidRPr="0031699D">
        <w:t>Conclusion</w:t>
      </w:r>
      <w:bookmarkEnd w:id="38"/>
    </w:p>
    <w:p w14:paraId="2799B18B" w14:textId="155CE1B8" w:rsidR="000351FB" w:rsidRDefault="000351FB" w:rsidP="000351FB">
      <w:r>
        <w:t>The United Nations Declaration of the Rights of Indigenous Peoples affirms the connection between health, culture and access to traditional lands. In consultations, V</w:t>
      </w:r>
      <w:r w:rsidR="003F3C29">
        <w:t xml:space="preserve">ision </w:t>
      </w:r>
      <w:r>
        <w:t>2020</w:t>
      </w:r>
      <w:r w:rsidR="003F3C29">
        <w:t xml:space="preserve"> </w:t>
      </w:r>
      <w:r>
        <w:t>A</w:t>
      </w:r>
      <w:r w:rsidR="003F3C29">
        <w:t>ustralia</w:t>
      </w:r>
      <w:r>
        <w:t xml:space="preserve"> members discussed Australian society’s obligation to acknowledge the connection between removal from traditional lands and social and health outcomes for Aboriginal and Torres Strait Islander people.</w:t>
      </w:r>
    </w:p>
    <w:p w14:paraId="37BE28AF" w14:textId="66E61AE8" w:rsidR="000351FB" w:rsidRDefault="000351FB" w:rsidP="000351FB"/>
    <w:p w14:paraId="24A326E7" w14:textId="6F9B70B0" w:rsidR="000351FB" w:rsidRDefault="000351FB" w:rsidP="000351FB">
      <w:r>
        <w:t>The refreshed Closing the Gap strategy must acknowledge the multiple layers of disadvantage experienced by Aboriginal and Torres Strait Islander people who need health services, including eye health and vision care services. Additionally, the refreshed Closing the Gap strategy must take into account the experiences of Aboriginal and Torres Strait Islander people with disability in planning to close the gap.</w:t>
      </w:r>
    </w:p>
    <w:p w14:paraId="76C16444" w14:textId="5CB49FD3" w:rsidR="000351FB" w:rsidRDefault="000351FB" w:rsidP="000351FB"/>
    <w:p w14:paraId="199538A8" w14:textId="5A36D4DA" w:rsidR="00E44BF5" w:rsidRPr="00CF0F65" w:rsidRDefault="000351FB" w:rsidP="005951C5">
      <w:r>
        <w:t>The refreshed Closing the Gap s</w:t>
      </w:r>
      <w:r w:rsidR="00522A26">
        <w:t xml:space="preserve">trategy </w:t>
      </w:r>
      <w:r>
        <w:t>must be led and implemented by</w:t>
      </w:r>
      <w:r w:rsidR="00522A26">
        <w:t xml:space="preserve"> Aboriginal and Torres Strait Islander </w:t>
      </w:r>
      <w:r>
        <w:t xml:space="preserve">people, communities, and community-led organisations, with the support of the Australian government. </w:t>
      </w:r>
    </w:p>
    <w:sectPr w:rsidR="00E44BF5" w:rsidRPr="00CF0F65" w:rsidSect="002F2F7A">
      <w:footerReference w:type="default" r:id="rId8"/>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AAFCBE" w14:textId="77777777" w:rsidR="00BD59AF" w:rsidRDefault="00BD59AF" w:rsidP="00185154">
      <w:r>
        <w:separator/>
      </w:r>
    </w:p>
    <w:p w14:paraId="1FAEBB80" w14:textId="77777777" w:rsidR="00BD59AF" w:rsidRDefault="00BD59AF"/>
  </w:endnote>
  <w:endnote w:type="continuationSeparator" w:id="0">
    <w:p w14:paraId="16BA7501" w14:textId="77777777" w:rsidR="00BD59AF" w:rsidRDefault="00BD59AF" w:rsidP="00185154">
      <w:r>
        <w:continuationSeparator/>
      </w:r>
    </w:p>
    <w:p w14:paraId="0A275E37" w14:textId="77777777" w:rsidR="00BD59AF" w:rsidRDefault="00BD59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2011668256"/>
      <w:docPartObj>
        <w:docPartGallery w:val="Page Numbers (Bottom of Page)"/>
        <w:docPartUnique/>
      </w:docPartObj>
    </w:sdtPr>
    <w:sdtEndPr>
      <w:rPr>
        <w:noProof/>
      </w:rPr>
    </w:sdtEndPr>
    <w:sdtContent>
      <w:p w14:paraId="6754D47C" w14:textId="2C171CF6" w:rsidR="00BD59AF" w:rsidRDefault="00BD59AF">
        <w:pPr>
          <w:pStyle w:val="Footer"/>
          <w:jc w:val="center"/>
        </w:pPr>
        <w:r>
          <w:rPr>
            <w:noProof w:val="0"/>
          </w:rPr>
          <w:fldChar w:fldCharType="begin"/>
        </w:r>
        <w:r>
          <w:instrText xml:space="preserve"> PAGE   \* MERGEFORMAT </w:instrText>
        </w:r>
        <w:r>
          <w:rPr>
            <w:noProof w:val="0"/>
          </w:rPr>
          <w:fldChar w:fldCharType="separate"/>
        </w:r>
        <w:r w:rsidR="00BC067A">
          <w:t>15</w:t>
        </w:r>
        <w:r>
          <w:fldChar w:fldCharType="end"/>
        </w:r>
      </w:p>
    </w:sdtContent>
  </w:sdt>
  <w:p w14:paraId="2D07644C" w14:textId="77777777" w:rsidR="00BD59AF" w:rsidRDefault="00BD59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91F805" w14:textId="77777777" w:rsidR="00BD59AF" w:rsidRDefault="00BD59AF" w:rsidP="00185154">
      <w:r>
        <w:separator/>
      </w:r>
    </w:p>
    <w:p w14:paraId="25E49F13" w14:textId="77777777" w:rsidR="00BD59AF" w:rsidRDefault="00BD59AF"/>
  </w:footnote>
  <w:footnote w:type="continuationSeparator" w:id="0">
    <w:p w14:paraId="6DAE7CE5" w14:textId="77777777" w:rsidR="00BD59AF" w:rsidRDefault="00BD59AF" w:rsidP="00185154">
      <w:r>
        <w:continuationSeparator/>
      </w:r>
    </w:p>
    <w:p w14:paraId="59FA4198" w14:textId="77777777" w:rsidR="00BD59AF" w:rsidRDefault="00BD59AF"/>
  </w:footnote>
  <w:footnote w:id="1">
    <w:p w14:paraId="263363CC" w14:textId="1CAC660A" w:rsidR="00BD59AF" w:rsidRDefault="00BD59AF">
      <w:pPr>
        <w:pStyle w:val="FootnoteText"/>
      </w:pPr>
      <w:r>
        <w:rPr>
          <w:rStyle w:val="FootnoteReference"/>
        </w:rPr>
        <w:footnoteRef/>
      </w:r>
      <w:r>
        <w:t xml:space="preserve"> Foreman, J., Keel, S., </w:t>
      </w:r>
      <w:proofErr w:type="spellStart"/>
      <w:r>
        <w:t>Xie</w:t>
      </w:r>
      <w:proofErr w:type="spellEnd"/>
      <w:r>
        <w:t xml:space="preserve">, J., van </w:t>
      </w:r>
      <w:proofErr w:type="spellStart"/>
      <w:r>
        <w:t>Wijngaarden</w:t>
      </w:r>
      <w:proofErr w:type="spellEnd"/>
      <w:r>
        <w:t xml:space="preserve">, P., </w:t>
      </w:r>
      <w:proofErr w:type="spellStart"/>
      <w:r>
        <w:t>Crowston</w:t>
      </w:r>
      <w:proofErr w:type="spellEnd"/>
      <w:r>
        <w:t xml:space="preserve">, J., Taylor, H. and </w:t>
      </w:r>
      <w:proofErr w:type="spellStart"/>
      <w:r>
        <w:t>Dirani</w:t>
      </w:r>
      <w:proofErr w:type="spellEnd"/>
      <w:r>
        <w:t xml:space="preserve">, </w:t>
      </w:r>
      <w:r w:rsidR="00757BC4">
        <w:t xml:space="preserve">M., </w:t>
      </w:r>
      <w:r>
        <w:rPr>
          <w:i/>
        </w:rPr>
        <w:t>The National Eye Health Survey 2016</w:t>
      </w:r>
      <w:r>
        <w:t>, Vision 2020 Australia, Melbourne, p. 12</w:t>
      </w:r>
    </w:p>
  </w:footnote>
  <w:footnote w:id="2">
    <w:p w14:paraId="52DB07CE" w14:textId="77777777" w:rsidR="00BD59AF" w:rsidRPr="00314406" w:rsidRDefault="00BD59AF">
      <w:pPr>
        <w:pStyle w:val="FootnoteText"/>
      </w:pPr>
      <w:r>
        <w:rPr>
          <w:rStyle w:val="FootnoteReference"/>
        </w:rPr>
        <w:footnoteRef/>
      </w:r>
      <w:r>
        <w:t xml:space="preserve"> Close the Gap Campaign Steering Committee, </w:t>
      </w:r>
      <w:r>
        <w:rPr>
          <w:i/>
        </w:rPr>
        <w:t xml:space="preserve">Close the Gap: A ten-year review: the Closing the Gap Strategy and Recommendations for Reset </w:t>
      </w:r>
      <w:r>
        <w:t xml:space="preserve">2018 </w:t>
      </w:r>
      <w:hyperlink r:id="rId1" w:history="1">
        <w:r w:rsidRPr="004D75E2">
          <w:rPr>
            <w:rStyle w:val="Hyperlink"/>
          </w:rPr>
          <w:t>https://www.humanrights.gov.au/sites/default/files/document/publication/CTG%202018_FINAL-WEB.pdf</w:t>
        </w:r>
      </w:hyperlink>
      <w:r>
        <w:t xml:space="preserve"> (Accessed 27/2/18)</w:t>
      </w:r>
    </w:p>
  </w:footnote>
  <w:footnote w:id="3">
    <w:p w14:paraId="37C73930" w14:textId="4B0793BD" w:rsidR="00BD59AF" w:rsidRDefault="00BD59AF" w:rsidP="00D51EA3">
      <w:pPr>
        <w:pStyle w:val="FootnoteText"/>
      </w:pPr>
      <w:r>
        <w:rPr>
          <w:rStyle w:val="FootnoteReference"/>
        </w:rPr>
        <w:footnoteRef/>
      </w:r>
      <w:r>
        <w:t xml:space="preserve"> Australian Institute of Health and Welfare, </w:t>
      </w:r>
      <w:r w:rsidRPr="00691003">
        <w:rPr>
          <w:i/>
        </w:rPr>
        <w:t>Australia’s Health 2016</w:t>
      </w:r>
      <w:r>
        <w:t xml:space="preserve">, </w:t>
      </w:r>
      <w:hyperlink r:id="rId2" w:history="1">
        <w:r w:rsidRPr="001A3C31">
          <w:rPr>
            <w:rStyle w:val="Hyperlink"/>
          </w:rPr>
          <w:t>https://www.aihw.gov.au/getmedia/9844cefb-7745-4dd8-9ee2-f4d1c3d6a727/19787-AH16.pdf.aspx?inline=true</w:t>
        </w:r>
      </w:hyperlink>
      <w:r>
        <w:t xml:space="preserve"> (Accessed 27/2/18) p</w:t>
      </w:r>
      <w:r w:rsidR="00757BC4">
        <w:t xml:space="preserve">. </w:t>
      </w:r>
      <w:r>
        <w:t>14</w:t>
      </w:r>
    </w:p>
  </w:footnote>
  <w:footnote w:id="4">
    <w:p w14:paraId="70E9A79F" w14:textId="487D9AA7" w:rsidR="00BD59AF" w:rsidRDefault="00BD59AF">
      <w:pPr>
        <w:pStyle w:val="FootnoteText"/>
      </w:pPr>
      <w:r>
        <w:rPr>
          <w:rStyle w:val="FootnoteReference"/>
        </w:rPr>
        <w:footnoteRef/>
      </w:r>
      <w:r>
        <w:t xml:space="preserve"> AIHW </w:t>
      </w:r>
      <w:r w:rsidR="00757BC4">
        <w:t xml:space="preserve">2016 </w:t>
      </w:r>
      <w:r>
        <w:t>p</w:t>
      </w:r>
      <w:r w:rsidR="00757BC4">
        <w:t>.</w:t>
      </w:r>
      <w:r>
        <w:t xml:space="preserve"> 15</w:t>
      </w:r>
    </w:p>
  </w:footnote>
  <w:footnote w:id="5">
    <w:p w14:paraId="4ED08003" w14:textId="4DE596DA" w:rsidR="00BD59AF" w:rsidRDefault="00BD59AF">
      <w:pPr>
        <w:pStyle w:val="FootnoteText"/>
      </w:pPr>
      <w:r>
        <w:rPr>
          <w:rStyle w:val="FootnoteReference"/>
        </w:rPr>
        <w:footnoteRef/>
      </w:r>
      <w:r>
        <w:t xml:space="preserve"> AIHW </w:t>
      </w:r>
      <w:r w:rsidR="00757BC4">
        <w:t xml:space="preserve">2016 </w:t>
      </w:r>
      <w:r>
        <w:t>p</w:t>
      </w:r>
      <w:r w:rsidR="00757BC4">
        <w:t xml:space="preserve">. </w:t>
      </w:r>
      <w:r>
        <w:t>15</w:t>
      </w:r>
    </w:p>
  </w:footnote>
  <w:footnote w:id="6">
    <w:p w14:paraId="2FCBD9AB" w14:textId="2500710A" w:rsidR="00BD59AF" w:rsidRPr="000F31A6" w:rsidRDefault="00BD59AF">
      <w:pPr>
        <w:pStyle w:val="FootnoteText"/>
      </w:pPr>
      <w:r>
        <w:rPr>
          <w:rStyle w:val="FootnoteReference"/>
        </w:rPr>
        <w:footnoteRef/>
      </w:r>
      <w:r>
        <w:t xml:space="preserve"> Foreman</w:t>
      </w:r>
      <w:r w:rsidR="00757BC4">
        <w:t xml:space="preserve"> et al</w:t>
      </w:r>
      <w:r>
        <w:t xml:space="preserve">, </w:t>
      </w:r>
      <w:r w:rsidR="00757BC4">
        <w:t xml:space="preserve">2016 </w:t>
      </w:r>
      <w:r>
        <w:t>p</w:t>
      </w:r>
      <w:r w:rsidR="00757BC4">
        <w:t xml:space="preserve">. </w:t>
      </w:r>
      <w:r>
        <w:t>15</w:t>
      </w:r>
    </w:p>
  </w:footnote>
  <w:footnote w:id="7">
    <w:p w14:paraId="3A6A4226" w14:textId="23C896FA" w:rsidR="00BD59AF" w:rsidRDefault="00BD59AF">
      <w:pPr>
        <w:pStyle w:val="FootnoteText"/>
      </w:pPr>
      <w:r>
        <w:rPr>
          <w:rStyle w:val="FootnoteReference"/>
        </w:rPr>
        <w:footnoteRef/>
      </w:r>
      <w:r>
        <w:t xml:space="preserve"> </w:t>
      </w:r>
      <w:r w:rsidRPr="00691003">
        <w:rPr>
          <w:i/>
        </w:rPr>
        <w:t>Australian Trachoma Surveillance Report 2016</w:t>
      </w:r>
      <w:r w:rsidRPr="00734064">
        <w:t>. The Kirby Institute, U</w:t>
      </w:r>
      <w:r>
        <w:t>NSW Australia, Sydney NSW 2052.</w:t>
      </w:r>
    </w:p>
  </w:footnote>
  <w:footnote w:id="8">
    <w:p w14:paraId="3E45B596" w14:textId="0CF639DF" w:rsidR="00BD59AF" w:rsidRPr="00F37694" w:rsidRDefault="00BD59AF" w:rsidP="009B5271">
      <w:pPr>
        <w:pStyle w:val="FootnoteText"/>
        <w:rPr>
          <w:i/>
        </w:rPr>
      </w:pPr>
      <w:r>
        <w:rPr>
          <w:rStyle w:val="FootnoteReference"/>
        </w:rPr>
        <w:footnoteRef/>
      </w:r>
      <w:r w:rsidR="00757BC4">
        <w:t xml:space="preserve"> Foreman et al</w:t>
      </w:r>
      <w:r>
        <w:t xml:space="preserve">, </w:t>
      </w:r>
      <w:r w:rsidR="00757BC4">
        <w:t>2016</w:t>
      </w:r>
    </w:p>
  </w:footnote>
  <w:footnote w:id="9">
    <w:p w14:paraId="27CC6EC4" w14:textId="61A2B63A" w:rsidR="00BD59AF" w:rsidRDefault="00BD59AF">
      <w:pPr>
        <w:pStyle w:val="FootnoteText"/>
      </w:pPr>
      <w:r>
        <w:rPr>
          <w:rStyle w:val="FootnoteReference"/>
        </w:rPr>
        <w:footnoteRef/>
      </w:r>
      <w:r>
        <w:t xml:space="preserve"> </w:t>
      </w:r>
      <w:r w:rsidR="00757BC4" w:rsidRPr="00757BC4">
        <w:t xml:space="preserve">Taylor, H., </w:t>
      </w:r>
      <w:proofErr w:type="spellStart"/>
      <w:r w:rsidR="00757BC4" w:rsidRPr="00757BC4">
        <w:t>Jatkar</w:t>
      </w:r>
      <w:proofErr w:type="spellEnd"/>
      <w:r w:rsidR="00757BC4" w:rsidRPr="00757BC4">
        <w:t xml:space="preserve">, U and Anjou, M, </w:t>
      </w:r>
      <w:r w:rsidR="00757BC4" w:rsidRPr="00757BC4">
        <w:rPr>
          <w:i/>
        </w:rPr>
        <w:t>The Roadmap to Close the Gap for Vision</w:t>
      </w:r>
      <w:r w:rsidR="00757BC4" w:rsidRPr="00757BC4">
        <w:t>, 2015, Indigenous Eye Health, Melbourne School of Population and Global Health, The University of Melbourne</w:t>
      </w:r>
    </w:p>
  </w:footnote>
  <w:footnote w:id="10">
    <w:p w14:paraId="08A68560" w14:textId="29E6F8E1" w:rsidR="00BD59AF" w:rsidRDefault="00BD59AF" w:rsidP="00226B8D">
      <w:pPr>
        <w:pStyle w:val="FootnoteText"/>
      </w:pPr>
      <w:r>
        <w:rPr>
          <w:rStyle w:val="FootnoteReference"/>
        </w:rPr>
        <w:footnoteRef/>
      </w:r>
      <w:r>
        <w:t xml:space="preserve"> C</w:t>
      </w:r>
      <w:r w:rsidR="0086628B">
        <w:t xml:space="preserve">lose </w:t>
      </w:r>
      <w:r>
        <w:t>T</w:t>
      </w:r>
      <w:r w:rsidR="0086628B">
        <w:t xml:space="preserve">he </w:t>
      </w:r>
      <w:r>
        <w:t>G</w:t>
      </w:r>
      <w:r w:rsidR="0086628B">
        <w:t>ap</w:t>
      </w:r>
      <w:r>
        <w:t xml:space="preserve"> Campaign Steering Committee </w:t>
      </w:r>
      <w:r w:rsidR="0086628B">
        <w:t xml:space="preserve">2018 </w:t>
      </w:r>
      <w:r>
        <w:t>p</w:t>
      </w:r>
      <w:r w:rsidR="0086628B">
        <w:t>.</w:t>
      </w:r>
      <w:r>
        <w:t xml:space="preserve"> 5</w:t>
      </w:r>
    </w:p>
  </w:footnote>
  <w:footnote w:id="11">
    <w:p w14:paraId="2A155480" w14:textId="3895847B" w:rsidR="00BD59AF" w:rsidRPr="00226B8D" w:rsidRDefault="00BD59AF">
      <w:pPr>
        <w:pStyle w:val="FootnoteText"/>
      </w:pPr>
      <w:r>
        <w:rPr>
          <w:rStyle w:val="FootnoteReference"/>
        </w:rPr>
        <w:footnoteRef/>
      </w:r>
      <w:r>
        <w:t xml:space="preserve"> University of Melbourne,</w:t>
      </w:r>
      <w:r w:rsidR="0086628B">
        <w:t xml:space="preserve"> Indigenous Eye Health,</w:t>
      </w:r>
      <w:r>
        <w:t xml:space="preserve"> </w:t>
      </w:r>
      <w:r>
        <w:rPr>
          <w:i/>
        </w:rPr>
        <w:t xml:space="preserve">The value of Indigenous sight: An economic analysis. Final Report, </w:t>
      </w:r>
      <w:r>
        <w:t>PricewaterhouseCoopers Australia, Melbourne, p</w:t>
      </w:r>
      <w:r w:rsidR="0086628B">
        <w:t>.</w:t>
      </w:r>
      <w:r>
        <w:t xml:space="preserve"> 20</w:t>
      </w:r>
    </w:p>
  </w:footnote>
  <w:footnote w:id="12">
    <w:p w14:paraId="3E196EB8" w14:textId="1B11AC82" w:rsidR="00BD59AF" w:rsidRDefault="00BD59AF">
      <w:pPr>
        <w:pStyle w:val="FootnoteText"/>
      </w:pPr>
      <w:r>
        <w:rPr>
          <w:rStyle w:val="FootnoteReference"/>
        </w:rPr>
        <w:footnoteRef/>
      </w:r>
      <w:r>
        <w:t xml:space="preserve"> AIHW </w:t>
      </w:r>
      <w:r w:rsidR="00447B00">
        <w:t xml:space="preserve">2016 </w:t>
      </w:r>
      <w:r>
        <w:t>p</w:t>
      </w:r>
      <w:r w:rsidR="00447B00">
        <w:t xml:space="preserve">. </w:t>
      </w:r>
      <w:r>
        <w:t>129</w:t>
      </w:r>
    </w:p>
  </w:footnote>
  <w:footnote w:id="13">
    <w:p w14:paraId="70B963BB" w14:textId="3AEB4258" w:rsidR="00BD59AF" w:rsidRDefault="00BD59AF" w:rsidP="00F23AC5">
      <w:pPr>
        <w:pStyle w:val="FootnoteText"/>
      </w:pPr>
      <w:r>
        <w:rPr>
          <w:rStyle w:val="FootnoteReference"/>
        </w:rPr>
        <w:footnoteRef/>
      </w:r>
      <w:r>
        <w:t xml:space="preserve"> AIHW </w:t>
      </w:r>
      <w:r w:rsidR="00447B00">
        <w:t xml:space="preserve">2016 </w:t>
      </w:r>
      <w:r>
        <w:t>p</w:t>
      </w:r>
      <w:r w:rsidR="00447B00">
        <w:t xml:space="preserve">. </w:t>
      </w:r>
      <w:r>
        <w:t>142</w:t>
      </w:r>
    </w:p>
  </w:footnote>
  <w:footnote w:id="14">
    <w:p w14:paraId="1333E370" w14:textId="77777777" w:rsidR="00BD59AF" w:rsidRPr="00F23AC5" w:rsidRDefault="00BD59AF">
      <w:pPr>
        <w:pStyle w:val="FootnoteText"/>
      </w:pPr>
      <w:r>
        <w:rPr>
          <w:rStyle w:val="FootnoteReference"/>
        </w:rPr>
        <w:footnoteRef/>
      </w:r>
      <w:r>
        <w:t xml:space="preserve"> Homelessness Australia, </w:t>
      </w:r>
      <w:r>
        <w:rPr>
          <w:i/>
        </w:rPr>
        <w:t xml:space="preserve">Homelessness and Aboriginal and Torres Strait Islanders </w:t>
      </w:r>
      <w:r>
        <w:t xml:space="preserve">2016 </w:t>
      </w:r>
      <w:hyperlink r:id="rId3" w:history="1">
        <w:r w:rsidRPr="004D75E2">
          <w:rPr>
            <w:rStyle w:val="Hyperlink"/>
          </w:rPr>
          <w:t>https://www.homelessnessaustralia.org.au/sites/homelessnessaus/files/2017-07/Homelessness_and_ATSIv3.pdf</w:t>
        </w:r>
      </w:hyperlink>
      <w:r>
        <w:t xml:space="preserve"> (Accessed 27/2/18)</w:t>
      </w:r>
    </w:p>
  </w:footnote>
  <w:footnote w:id="15">
    <w:p w14:paraId="48A905BF" w14:textId="04666D22" w:rsidR="00BD59AF" w:rsidRDefault="00BD59AF" w:rsidP="00F23AC5">
      <w:pPr>
        <w:pStyle w:val="FootnoteText"/>
      </w:pPr>
      <w:r>
        <w:rPr>
          <w:rStyle w:val="FootnoteReference"/>
        </w:rPr>
        <w:footnoteRef/>
      </w:r>
      <w:r>
        <w:t xml:space="preserve"> Grant, </w:t>
      </w:r>
      <w:r w:rsidR="0086628B">
        <w:t xml:space="preserve">E., </w:t>
      </w:r>
      <w:proofErr w:type="spellStart"/>
      <w:r>
        <w:t>Zillante</w:t>
      </w:r>
      <w:proofErr w:type="spellEnd"/>
      <w:r>
        <w:t xml:space="preserve">, </w:t>
      </w:r>
      <w:r w:rsidR="0086628B">
        <w:t xml:space="preserve">G., </w:t>
      </w:r>
      <w:proofErr w:type="spellStart"/>
      <w:r>
        <w:t>Tually</w:t>
      </w:r>
      <w:proofErr w:type="spellEnd"/>
      <w:r>
        <w:t xml:space="preserve">, </w:t>
      </w:r>
      <w:r w:rsidR="0086628B">
        <w:t xml:space="preserve">S., </w:t>
      </w:r>
      <w:r>
        <w:t xml:space="preserve">Chong, </w:t>
      </w:r>
      <w:r w:rsidR="0086628B">
        <w:t xml:space="preserve">A., </w:t>
      </w:r>
      <w:r>
        <w:t xml:space="preserve">Srivastava, </w:t>
      </w:r>
      <w:r w:rsidR="0086628B">
        <w:t xml:space="preserve">A., </w:t>
      </w:r>
      <w:r>
        <w:t xml:space="preserve">Lester, </w:t>
      </w:r>
      <w:r w:rsidR="0086628B">
        <w:t xml:space="preserve">L., </w:t>
      </w:r>
      <w:proofErr w:type="spellStart"/>
      <w:r>
        <w:t>Beilby</w:t>
      </w:r>
      <w:proofErr w:type="spellEnd"/>
      <w:r>
        <w:t xml:space="preserve"> </w:t>
      </w:r>
      <w:r w:rsidR="0086628B">
        <w:t xml:space="preserve">J., </w:t>
      </w:r>
      <w:r>
        <w:t xml:space="preserve">and Beer, </w:t>
      </w:r>
      <w:r w:rsidR="0086628B">
        <w:t xml:space="preserve">A., </w:t>
      </w:r>
      <w:r>
        <w:t xml:space="preserve">“Housing and Indigenous people living with a disability: lived experiences of housing and community infrastructure” </w:t>
      </w:r>
      <w:r w:rsidRPr="00B65AB1">
        <w:rPr>
          <w:i/>
        </w:rPr>
        <w:t>Positioning Paper for the Australian Housing and Urban Research Institute</w:t>
      </w:r>
      <w:r>
        <w:t xml:space="preserve">, </w:t>
      </w:r>
      <w:hyperlink r:id="rId4" w:history="1">
        <w:r w:rsidRPr="004D75E2">
          <w:rPr>
            <w:rStyle w:val="Hyperlink"/>
          </w:rPr>
          <w:t>https://www.ahuri.edu.au/__data/assets/pdf_file/0010/7012/AHURI_Positioning_Paper_No168_Housing-and-Indigenous-people-living-with-a-disability-lived-experiences-of-housing-and-community-infrastructure.pdf</w:t>
        </w:r>
      </w:hyperlink>
      <w:r>
        <w:t xml:space="preserve"> (Accessed 27/2/18)</w:t>
      </w:r>
    </w:p>
  </w:footnote>
  <w:footnote w:id="16">
    <w:p w14:paraId="174E43DC" w14:textId="64EB79BD" w:rsidR="00BD59AF" w:rsidRDefault="00BD59AF" w:rsidP="00FE7591">
      <w:pPr>
        <w:pStyle w:val="FootnoteText"/>
      </w:pPr>
      <w:r>
        <w:rPr>
          <w:rStyle w:val="FootnoteReference"/>
        </w:rPr>
        <w:footnoteRef/>
      </w:r>
      <w:r>
        <w:t xml:space="preserve"> Aboriginal and Torres Strait Islander Peak Organisations, </w:t>
      </w:r>
      <w:r>
        <w:rPr>
          <w:i/>
        </w:rPr>
        <w:t>The Redfern Statement</w:t>
      </w:r>
      <w:r>
        <w:t xml:space="preserve"> 2017 </w:t>
      </w:r>
      <w:r w:rsidRPr="00342396">
        <w:t xml:space="preserve">https://nationalcongress.com.au/wp-content/uploads/2017/02/The-Redfern-Statement-9-June-_Final.pdf </w:t>
      </w:r>
      <w:r>
        <w:t xml:space="preserve"> (Accessed 27/2/18) p</w:t>
      </w:r>
      <w:r w:rsidR="00447B00">
        <w:t xml:space="preserve">. </w:t>
      </w:r>
      <w:r>
        <w:t>10</w:t>
      </w:r>
    </w:p>
  </w:footnote>
  <w:footnote w:id="17">
    <w:p w14:paraId="27E46118" w14:textId="77777777" w:rsidR="00327B67" w:rsidRDefault="00327B67" w:rsidP="00327B67">
      <w:pPr>
        <w:pStyle w:val="FootnoteText"/>
      </w:pPr>
      <w:r>
        <w:rPr>
          <w:rStyle w:val="FootnoteReference"/>
        </w:rPr>
        <w:footnoteRef/>
      </w:r>
      <w:r>
        <w:t xml:space="preserve"> Also see, Warren, J. and </w:t>
      </w:r>
      <w:proofErr w:type="spellStart"/>
      <w:r>
        <w:t>Birrell</w:t>
      </w:r>
      <w:proofErr w:type="spellEnd"/>
      <w:r>
        <w:t xml:space="preserve">, A., “Trachoma in remote Indigenous Australia: a review and public health perspective”, </w:t>
      </w:r>
      <w:r>
        <w:rPr>
          <w:i/>
        </w:rPr>
        <w:t xml:space="preserve">Australian and New Zealand Journal of Public Health </w:t>
      </w:r>
      <w:r>
        <w:t xml:space="preserve">Vol 40, </w:t>
      </w:r>
      <w:proofErr w:type="spellStart"/>
      <w:r>
        <w:t>Suppl</w:t>
      </w:r>
      <w:proofErr w:type="spellEnd"/>
      <w:r>
        <w:t xml:space="preserve"> 1 2016;</w:t>
      </w:r>
    </w:p>
    <w:p w14:paraId="2988C0B4" w14:textId="77777777" w:rsidR="00327B67" w:rsidRDefault="00327B67" w:rsidP="00327B67">
      <w:pPr>
        <w:pStyle w:val="FootnoteText"/>
      </w:pPr>
      <w:r w:rsidRPr="0086628B">
        <w:t xml:space="preserve">Burrow S, Ride K </w:t>
      </w:r>
      <w:r w:rsidRPr="00180E0D">
        <w:rPr>
          <w:i/>
        </w:rPr>
        <w:t xml:space="preserve">Review of diabetes among Aboriginal and Torres Strait Islander people. Australian Indigenous </w:t>
      </w:r>
      <w:proofErr w:type="spellStart"/>
      <w:r w:rsidRPr="00180E0D">
        <w:rPr>
          <w:i/>
        </w:rPr>
        <w:t>HealthInfoNet</w:t>
      </w:r>
      <w:proofErr w:type="spellEnd"/>
      <w:r>
        <w:rPr>
          <w:i/>
        </w:rPr>
        <w:t xml:space="preserve"> </w:t>
      </w:r>
      <w:r>
        <w:t xml:space="preserve">2016 </w:t>
      </w:r>
      <w:r w:rsidRPr="0086628B">
        <w:t xml:space="preserve">http://www.healthinfonet.ecu.edu.au/chronic-conditions/diabetes/reviews/our-review </w:t>
      </w:r>
      <w:r>
        <w:t>(Accessed 10/4/18);</w:t>
      </w:r>
    </w:p>
    <w:p w14:paraId="18C5A395" w14:textId="77777777" w:rsidR="00327B67" w:rsidRDefault="00327B67" w:rsidP="00327B67">
      <w:pPr>
        <w:pStyle w:val="FootnoteText"/>
      </w:pPr>
      <w:r>
        <w:t xml:space="preserve">Australian Institute of Health and Welfare “Cardiovascular disease, diabetes and chronic kidney disease—Australian facts: Aboriginal and Torres Strait Islander people” 2015 </w:t>
      </w:r>
      <w:bookmarkStart w:id="26" w:name="_GoBack"/>
      <w:bookmarkEnd w:id="26"/>
      <w:r w:rsidR="00BC067A">
        <w:fldChar w:fldCharType="begin"/>
      </w:r>
      <w:r w:rsidR="00BC067A">
        <w:instrText xml:space="preserve"> HYPERLINK "https://www.aihw.gov.au/getmedia/e640a6ba-615c-46aa-86d3-097d0dc1d0c3/19548.pdf.aspx?inline=true" </w:instrText>
      </w:r>
      <w:r w:rsidR="00BC067A">
        <w:fldChar w:fldCharType="separate"/>
      </w:r>
      <w:r w:rsidRPr="00043992">
        <w:rPr>
          <w:rStyle w:val="Hyperlink"/>
        </w:rPr>
        <w:t>https://www.aihw.gov.au/getmedia/e640a6ba-615c-46aa-86d3-097d0dc1d0c3/19548.pdf.aspx?inline=true</w:t>
      </w:r>
      <w:r w:rsidR="00BC067A">
        <w:rPr>
          <w:rStyle w:val="Hyperlink"/>
        </w:rPr>
        <w:fldChar w:fldCharType="end"/>
      </w:r>
      <w:r>
        <w:t xml:space="preserve"> (Accessed 13/3/18); and</w:t>
      </w:r>
    </w:p>
    <w:p w14:paraId="3D1BA314" w14:textId="58C85730" w:rsidR="00327B67" w:rsidRPr="00E57908" w:rsidRDefault="00327B67" w:rsidP="00327B67">
      <w:pPr>
        <w:pStyle w:val="FootnoteText"/>
      </w:pPr>
      <w:r>
        <w:t>Foreman et al., 2016, p. 18</w:t>
      </w:r>
    </w:p>
  </w:footnote>
  <w:footnote w:id="18">
    <w:p w14:paraId="54FE7DB5" w14:textId="1AF738DA" w:rsidR="00BD59AF" w:rsidRPr="005951C5" w:rsidRDefault="00BD59AF">
      <w:pPr>
        <w:pStyle w:val="FootnoteText"/>
      </w:pPr>
      <w:r>
        <w:rPr>
          <w:rStyle w:val="FootnoteReference"/>
        </w:rPr>
        <w:footnoteRef/>
      </w:r>
      <w:r>
        <w:t xml:space="preserve"> See, for example, Recommendation 3 in The Close the Gap Campaign Steering Committee for Indigenous Health Equality, </w:t>
      </w:r>
      <w:r>
        <w:rPr>
          <w:i/>
        </w:rPr>
        <w:t>A ten year review: the Closing the Gap Strategy and Recommendations for Reset</w:t>
      </w:r>
      <w:r>
        <w:t xml:space="preserve"> </w:t>
      </w:r>
      <w:hyperlink r:id="rId5" w:history="1">
        <w:r w:rsidRPr="001A3C31">
          <w:rPr>
            <w:rStyle w:val="Hyperlink"/>
          </w:rPr>
          <w:t>https://www.humanrights.gov.au/sites/default/files/document/publication/CTG%202018_FINAL-WEB.pdf</w:t>
        </w:r>
      </w:hyperlink>
      <w:r>
        <w:t xml:space="preserve"> (Accessed 27/2/18). </w:t>
      </w:r>
      <w:r w:rsidRPr="00DB73A7">
        <w:t>This proposal is supported by the original Close the Gap Statement of Intent, which commits to ‘working collectively to systematically address the social determinants that impact on achieving health equality for Aboriginal and</w:t>
      </w:r>
      <w:r>
        <w:t xml:space="preserve"> Torres Strait Islander </w:t>
      </w:r>
      <w:proofErr w:type="gramStart"/>
      <w:r>
        <w:t>peoples’</w:t>
      </w:r>
      <w:proofErr w:type="gramEnd"/>
      <w:r>
        <w:t>.</w:t>
      </w:r>
    </w:p>
  </w:footnote>
  <w:footnote w:id="19">
    <w:p w14:paraId="47F4BBAF" w14:textId="2DF2B8B8" w:rsidR="00BD59AF" w:rsidRDefault="00BD59AF">
      <w:pPr>
        <w:pStyle w:val="FootnoteText"/>
      </w:pPr>
      <w:r>
        <w:rPr>
          <w:rStyle w:val="FootnoteReference"/>
        </w:rPr>
        <w:footnoteRef/>
      </w:r>
      <w:r w:rsidR="00776E1F">
        <w:t xml:space="preserve"> Finance and Public Administration References Committee, </w:t>
      </w:r>
      <w:r w:rsidR="00776E1F">
        <w:rPr>
          <w:i/>
        </w:rPr>
        <w:t xml:space="preserve">Commonwealth Indigenous Advancement Strategy tendering process </w:t>
      </w:r>
      <w:hyperlink r:id="rId6" w:history="1">
        <w:r w:rsidR="00776E1F" w:rsidRPr="00FB0AB4">
          <w:rPr>
            <w:rStyle w:val="Hyperlink"/>
          </w:rPr>
          <w:t>https://www.aph.gov.au/Parliamentary_Business/Committees/Senate/Finance_and_Public_Administration/Commonwealth_Indigenous/Report</w:t>
        </w:r>
      </w:hyperlink>
      <w:r w:rsidR="00776E1F">
        <w:t xml:space="preserve"> (Accessed 11/4/18)</w:t>
      </w:r>
    </w:p>
  </w:footnote>
  <w:footnote w:id="20">
    <w:p w14:paraId="12A7541C" w14:textId="7FC177B4" w:rsidR="00BD59AF" w:rsidRPr="002A12F0" w:rsidRDefault="00BD59AF">
      <w:pPr>
        <w:pStyle w:val="FootnoteText"/>
        <w:rPr>
          <w:lang w:val="fr-FR"/>
        </w:rPr>
      </w:pPr>
      <w:r>
        <w:rPr>
          <w:rStyle w:val="FootnoteReference"/>
        </w:rPr>
        <w:footnoteRef/>
      </w:r>
      <w:r w:rsidRPr="002A12F0">
        <w:rPr>
          <w:lang w:val="fr-FR"/>
        </w:rPr>
        <w:t xml:space="preserve"> </w:t>
      </w:r>
      <w:r w:rsidR="00776E1F">
        <w:t>Close the Gap Campaign Steering Committee</w:t>
      </w:r>
      <w:r w:rsidR="00776E1F" w:rsidRPr="002A12F0">
        <w:rPr>
          <w:lang w:val="fr-FR"/>
        </w:rPr>
        <w:t xml:space="preserve"> </w:t>
      </w:r>
      <w:r w:rsidR="00776E1F">
        <w:rPr>
          <w:lang w:val="fr-FR"/>
        </w:rPr>
        <w:t xml:space="preserve">2018 </w:t>
      </w:r>
      <w:r w:rsidRPr="002A12F0">
        <w:rPr>
          <w:lang w:val="fr-FR"/>
        </w:rPr>
        <w:t>p</w:t>
      </w:r>
      <w:r w:rsidR="00776E1F">
        <w:rPr>
          <w:lang w:val="fr-FR"/>
        </w:rPr>
        <w:t>.</w:t>
      </w:r>
      <w:r w:rsidRPr="002A12F0">
        <w:rPr>
          <w:lang w:val="fr-FR"/>
        </w:rPr>
        <w:t xml:space="preserve"> 6</w:t>
      </w:r>
    </w:p>
  </w:footnote>
  <w:footnote w:id="21">
    <w:p w14:paraId="65EC759D" w14:textId="63B123AD" w:rsidR="00BD59AF" w:rsidRDefault="00BD59AF" w:rsidP="00516E0C">
      <w:pPr>
        <w:pStyle w:val="FootnoteText"/>
      </w:pPr>
      <w:r>
        <w:rPr>
          <w:rStyle w:val="FootnoteReference"/>
        </w:rPr>
        <w:footnoteRef/>
      </w:r>
      <w:r>
        <w:t xml:space="preserve"> Taylor, H., </w:t>
      </w:r>
      <w:proofErr w:type="spellStart"/>
      <w:r>
        <w:t>Jatkar</w:t>
      </w:r>
      <w:proofErr w:type="spellEnd"/>
      <w:r>
        <w:t xml:space="preserve">, U and Anjou, M, </w:t>
      </w:r>
      <w:r>
        <w:rPr>
          <w:i/>
        </w:rPr>
        <w:t>The Roadmap to Close the Gap for</w:t>
      </w:r>
      <w:r w:rsidRPr="00516E0C">
        <w:rPr>
          <w:i/>
        </w:rPr>
        <w:t xml:space="preserve"> Vision</w:t>
      </w:r>
      <w:r>
        <w:t xml:space="preserve">, 2015, </w:t>
      </w:r>
      <w:r w:rsidRPr="00516E0C">
        <w:t>Indigenous</w:t>
      </w:r>
      <w:r>
        <w:t xml:space="preserve"> Eye Health, Melbourne School of Population and Global Health, The University of Melbourne</w:t>
      </w:r>
    </w:p>
  </w:footnote>
  <w:footnote w:id="22">
    <w:p w14:paraId="12D10DA8" w14:textId="05ED1DF1" w:rsidR="00BD59AF" w:rsidRPr="000256BE" w:rsidRDefault="00BD59AF">
      <w:pPr>
        <w:pStyle w:val="FootnoteText"/>
      </w:pPr>
      <w:r>
        <w:rPr>
          <w:rStyle w:val="FootnoteReference"/>
        </w:rPr>
        <w:footnoteRef/>
      </w:r>
      <w:r w:rsidRPr="000256BE">
        <w:t xml:space="preserve"> </w:t>
      </w:r>
      <w:r w:rsidR="00776E1F">
        <w:t>Close the Gap Campaign Steering Committee</w:t>
      </w:r>
      <w:r w:rsidR="00776E1F" w:rsidRPr="000256BE">
        <w:t xml:space="preserve"> </w:t>
      </w:r>
      <w:r w:rsidR="00776E1F">
        <w:t xml:space="preserve">2018 </w:t>
      </w:r>
      <w:r w:rsidRPr="000256BE">
        <w:t>p</w:t>
      </w:r>
      <w:r w:rsidR="00776E1F">
        <w:t xml:space="preserve">. </w:t>
      </w:r>
      <w:r w:rsidRPr="000256BE">
        <w:t>30</w:t>
      </w:r>
    </w:p>
  </w:footnote>
  <w:footnote w:id="23">
    <w:p w14:paraId="3A23F3E7" w14:textId="73E00D93" w:rsidR="00BD59AF" w:rsidRDefault="00BD59AF">
      <w:pPr>
        <w:pStyle w:val="FootnoteText"/>
      </w:pPr>
      <w:r>
        <w:rPr>
          <w:rStyle w:val="FootnoteReference"/>
        </w:rPr>
        <w:footnoteRef/>
      </w:r>
      <w:r>
        <w:t xml:space="preserve"> Institutional racism refers to racial discrimination that exists within institutional structures. Individuals within the institution may not be racist but the operation of the institution is covertly and/or overtly racist. For more information see </w:t>
      </w:r>
      <w:r w:rsidR="00776E1F">
        <w:t>“</w:t>
      </w:r>
      <w:r>
        <w:t>Racism No Way</w:t>
      </w:r>
      <w:r w:rsidR="00776E1F">
        <w:t>”</w:t>
      </w:r>
      <w:r>
        <w:t xml:space="preserve"> teaching resources available from </w:t>
      </w:r>
      <w:hyperlink r:id="rId7" w:history="1">
        <w:r w:rsidRPr="003E639E">
          <w:rPr>
            <w:rStyle w:val="Hyperlink"/>
          </w:rPr>
          <w:t>http://www.racismnoway.com.au/teaching-resources/anti-racism-activities/lesson-ideas/institutional-racism/</w:t>
        </w:r>
      </w:hyperlink>
      <w:r>
        <w:t xml:space="preserve"> (Accessed 20/3/18).</w:t>
      </w:r>
    </w:p>
  </w:footnote>
  <w:footnote w:id="24">
    <w:p w14:paraId="792D7073" w14:textId="105B62E9" w:rsidR="00BD59AF" w:rsidRDefault="00BD59AF">
      <w:pPr>
        <w:pStyle w:val="FootnoteText"/>
      </w:pPr>
      <w:r>
        <w:rPr>
          <w:rStyle w:val="FootnoteReference"/>
        </w:rPr>
        <w:footnoteRef/>
      </w:r>
      <w:r>
        <w:t xml:space="preserve"> Cultural safety in a health context relates to providing health care that fits within familiar cultural values and norms of the person accessing the service. This is usually different to the dominant culture. For further information, see the Victorian Aboriginal Community Controlled Health Organisation </w:t>
      </w:r>
      <w:hyperlink r:id="rId8" w:history="1">
        <w:r w:rsidRPr="003E639E">
          <w:rPr>
            <w:rStyle w:val="Hyperlink"/>
          </w:rPr>
          <w:t>http://www.vaccho.org.au/consultancy/cs/</w:t>
        </w:r>
      </w:hyperlink>
      <w:r>
        <w:t xml:space="preserve"> (Accessed 20/3/18).</w:t>
      </w:r>
    </w:p>
  </w:footnote>
  <w:footnote w:id="25">
    <w:p w14:paraId="08CB3338" w14:textId="0DC8879D" w:rsidR="00BD59AF" w:rsidRDefault="00BD59AF">
      <w:pPr>
        <w:pStyle w:val="FootnoteText"/>
      </w:pPr>
      <w:r>
        <w:rPr>
          <w:rStyle w:val="FootnoteReference"/>
        </w:rPr>
        <w:footnoteRef/>
      </w:r>
      <w:r>
        <w:t xml:space="preserve"> See, for example, “Indigenous patients to get culturally appropriate waiting rooms in hospitals”, </w:t>
      </w:r>
      <w:hyperlink r:id="rId9" w:history="1">
        <w:r w:rsidRPr="00515099">
          <w:rPr>
            <w:rStyle w:val="Hyperlink"/>
          </w:rPr>
          <w:t>https://www.sbs.com.au/news/indigenous-patients-to-get-culturally-appropriate-waiting-rooms-in-hospitals</w:t>
        </w:r>
      </w:hyperlink>
      <w:r>
        <w:t xml:space="preserve"> (Accessed 10/4/18)</w:t>
      </w:r>
    </w:p>
  </w:footnote>
  <w:footnote w:id="26">
    <w:p w14:paraId="79059AC7" w14:textId="77777777" w:rsidR="00BD59AF" w:rsidRDefault="00BD59AF" w:rsidP="001D39CC">
      <w:pPr>
        <w:pStyle w:val="FootnoteText"/>
      </w:pPr>
      <w:r>
        <w:rPr>
          <w:rStyle w:val="FootnoteReference"/>
        </w:rPr>
        <w:footnoteRef/>
      </w:r>
      <w:r>
        <w:t xml:space="preserve"> United Nations Sustainable Development Goals, “Good Health and Wellbeing: Why it matters”</w:t>
      </w:r>
      <w:r w:rsidRPr="001D39CC">
        <w:t xml:space="preserve"> </w:t>
      </w:r>
      <w:hyperlink r:id="rId10" w:history="1">
        <w:r w:rsidRPr="00EB5D4C">
          <w:rPr>
            <w:rStyle w:val="Hyperlink"/>
          </w:rPr>
          <w:t>http://www.un.org/sustainabledevelopment/wp-content/uploads/2017/03/ENGLISH_Why_it_Matters_Goal_3_Health.pdf</w:t>
        </w:r>
      </w:hyperlink>
      <w:r>
        <w:t xml:space="preserve"> (Accessed 1/3/18)</w:t>
      </w:r>
    </w:p>
  </w:footnote>
  <w:footnote w:id="27">
    <w:p w14:paraId="670FBFB3" w14:textId="77777777" w:rsidR="00BD59AF" w:rsidRDefault="00BD59AF">
      <w:pPr>
        <w:pStyle w:val="FootnoteText"/>
      </w:pPr>
      <w:r>
        <w:rPr>
          <w:rStyle w:val="FootnoteReference"/>
        </w:rPr>
        <w:footnoteRef/>
      </w:r>
      <w:r>
        <w:t xml:space="preserve"> 2017 Annual Update on the Implementation of The Roadmap to Close the Gap for Vision</w:t>
      </w:r>
    </w:p>
    <w:p w14:paraId="623A1629" w14:textId="0D244172" w:rsidR="00BD59AF" w:rsidRDefault="00BC067A">
      <w:pPr>
        <w:pStyle w:val="FootnoteText"/>
      </w:pPr>
      <w:hyperlink r:id="rId11" w:history="1">
        <w:r w:rsidR="00BD59AF" w:rsidRPr="00EB5D4C">
          <w:rPr>
            <w:rStyle w:val="Hyperlink"/>
          </w:rPr>
          <w:t>http://mspgh.unimelb.edu.au/__data/assets/pdf_file/0005/2546402/2017-AnnualUpdate.pdf</w:t>
        </w:r>
      </w:hyperlink>
      <w:r w:rsidR="00BD59AF">
        <w:t xml:space="preserve"> (Accessed 1/3/18)</w:t>
      </w:r>
    </w:p>
  </w:footnote>
  <w:footnote w:id="28">
    <w:p w14:paraId="747F8C1E" w14:textId="6EB08E01" w:rsidR="00BD59AF" w:rsidRDefault="00BD59AF">
      <w:pPr>
        <w:pStyle w:val="FootnoteText"/>
      </w:pPr>
      <w:r>
        <w:rPr>
          <w:rStyle w:val="FootnoteReference"/>
        </w:rPr>
        <w:footnoteRef/>
      </w:r>
      <w:r>
        <w:t xml:space="preserve"> See </w:t>
      </w:r>
      <w:hyperlink r:id="rId12" w:history="1">
        <w:r w:rsidRPr="00780994">
          <w:rPr>
            <w:rStyle w:val="Hyperlink"/>
          </w:rPr>
          <w:t>https://www.aihw.gov.au/getmedia/53cc66dd-d215-44d8-b7b0-d3e903f3aa42/20635.pdf.aspx?inline=true</w:t>
        </w:r>
      </w:hyperlink>
      <w:r>
        <w:t xml:space="preserve"> (Accessed 21/3/18)</w:t>
      </w:r>
    </w:p>
  </w:footnote>
  <w:footnote w:id="29">
    <w:p w14:paraId="6970FE74" w14:textId="583E94F3" w:rsidR="00BD59AF" w:rsidRDefault="00BD59AF">
      <w:pPr>
        <w:pStyle w:val="FootnoteText"/>
      </w:pPr>
      <w:r>
        <w:rPr>
          <w:rStyle w:val="FootnoteReference"/>
        </w:rPr>
        <w:footnoteRef/>
      </w:r>
      <w:r>
        <w:t xml:space="preserve"> The Redfern Statement Disability Workshop Communique </w:t>
      </w:r>
      <w:hyperlink r:id="rId13" w:history="1">
        <w:r w:rsidRPr="003E639E">
          <w:rPr>
            <w:rStyle w:val="Hyperlink"/>
          </w:rPr>
          <w:t>http://fpdn.org.au/the-redfern-statement-disability-workshop-communique/</w:t>
        </w:r>
      </w:hyperlink>
      <w:r>
        <w:t xml:space="preserve"> (Accessed 13/3/18)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2"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3" w15:restartNumberingAfterBreak="0">
    <w:nsid w:val="133D3962"/>
    <w:multiLevelType w:val="hybridMultilevel"/>
    <w:tmpl w:val="4CEA17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4A59F2"/>
    <w:multiLevelType w:val="hybridMultilevel"/>
    <w:tmpl w:val="B37065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6" w15:restartNumberingAfterBreak="0">
    <w:nsid w:val="24C31860"/>
    <w:multiLevelType w:val="hybridMultilevel"/>
    <w:tmpl w:val="9E26B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8" w15:restartNumberingAfterBreak="0">
    <w:nsid w:val="366E6290"/>
    <w:multiLevelType w:val="multilevel"/>
    <w:tmpl w:val="BDFC207A"/>
    <w:numStyleLink w:val="ListTableNumber"/>
  </w:abstractNum>
  <w:abstractNum w:abstractNumId="9" w15:restartNumberingAfterBreak="0">
    <w:nsid w:val="3B7A0944"/>
    <w:multiLevelType w:val="hybridMultilevel"/>
    <w:tmpl w:val="2E642E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BCA7D68"/>
    <w:multiLevelType w:val="hybridMultilevel"/>
    <w:tmpl w:val="9D7AD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2" w15:restartNumberingAfterBreak="0">
    <w:nsid w:val="40D61176"/>
    <w:multiLevelType w:val="hybridMultilevel"/>
    <w:tmpl w:val="6B041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5C647A8"/>
    <w:multiLevelType w:val="multilevel"/>
    <w:tmpl w:val="A62A2188"/>
    <w:numStyleLink w:val="ListNumberedHeadings"/>
  </w:abstractNum>
  <w:abstractNum w:abstractNumId="14" w15:restartNumberingAfterBreak="0">
    <w:nsid w:val="574E19D1"/>
    <w:multiLevelType w:val="hybridMultilevel"/>
    <w:tmpl w:val="2F3C71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9FF61EA"/>
    <w:multiLevelType w:val="hybridMultilevel"/>
    <w:tmpl w:val="3D82F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B713DD2"/>
    <w:multiLevelType w:val="multilevel"/>
    <w:tmpl w:val="624681D2"/>
    <w:numStyleLink w:val="ListTableBullet"/>
  </w:abstractNum>
  <w:abstractNum w:abstractNumId="17"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8" w15:restartNumberingAfterBreak="0">
    <w:nsid w:val="64FF52A9"/>
    <w:multiLevelType w:val="hybridMultilevel"/>
    <w:tmpl w:val="77DA63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E9F2C37"/>
    <w:multiLevelType w:val="hybridMultilevel"/>
    <w:tmpl w:val="F508ED0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70582651"/>
    <w:multiLevelType w:val="hybridMultilevel"/>
    <w:tmpl w:val="67DE3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139706E"/>
    <w:multiLevelType w:val="multilevel"/>
    <w:tmpl w:val="11C64328"/>
    <w:numStyleLink w:val="ListParagraph"/>
  </w:abstractNum>
  <w:abstractNum w:abstractNumId="22"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1"/>
  </w:num>
  <w:num w:numId="2">
    <w:abstractNumId w:val="22"/>
  </w:num>
  <w:num w:numId="3">
    <w:abstractNumId w:val="5"/>
  </w:num>
  <w:num w:numId="4">
    <w:abstractNumId w:val="11"/>
  </w:num>
  <w:num w:numId="5">
    <w:abstractNumId w:val="0"/>
  </w:num>
  <w:num w:numId="6">
    <w:abstractNumId w:val="2"/>
  </w:num>
  <w:num w:numId="7">
    <w:abstractNumId w:val="17"/>
  </w:num>
  <w:num w:numId="8">
    <w:abstractNumId w:val="21"/>
  </w:num>
  <w:num w:numId="9">
    <w:abstractNumId w:val="8"/>
    <w:lvlOverride w:ilvl="0">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Override>
  </w:num>
  <w:num w:numId="10">
    <w:abstractNumId w:val="1"/>
  </w:num>
  <w:num w:numId="11">
    <w:abstractNumId w:val="5"/>
  </w:num>
  <w:num w:numId="12">
    <w:abstractNumId w:val="7"/>
  </w:num>
  <w:num w:numId="13">
    <w:abstractNumId w:val="7"/>
  </w:num>
  <w:num w:numId="14">
    <w:abstractNumId w:val="16"/>
  </w:num>
  <w:num w:numId="15">
    <w:abstractNumId w:val="13"/>
  </w:num>
  <w:num w:numId="16">
    <w:abstractNumId w:val="12"/>
  </w:num>
  <w:num w:numId="17">
    <w:abstractNumId w:val="18"/>
  </w:num>
  <w:num w:numId="18">
    <w:abstractNumId w:val="4"/>
  </w:num>
  <w:num w:numId="19">
    <w:abstractNumId w:val="20"/>
  </w:num>
  <w:num w:numId="20">
    <w:abstractNumId w:val="3"/>
  </w:num>
  <w:num w:numId="21">
    <w:abstractNumId w:val="6"/>
  </w:num>
  <w:num w:numId="22">
    <w:abstractNumId w:val="14"/>
  </w:num>
  <w:num w:numId="23">
    <w:abstractNumId w:val="10"/>
  </w:num>
  <w:num w:numId="24">
    <w:abstractNumId w:val="15"/>
  </w:num>
  <w:num w:numId="25">
    <w:abstractNumId w:val="9"/>
  </w:num>
  <w:num w:numId="26">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AU" w:vendorID="64" w:dllVersion="131078" w:nlCheck="1" w:checkStyle="1"/>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840"/>
    <w:rsid w:val="00005FEB"/>
    <w:rsid w:val="00006100"/>
    <w:rsid w:val="00012B4F"/>
    <w:rsid w:val="000209EC"/>
    <w:rsid w:val="00025426"/>
    <w:rsid w:val="000256BE"/>
    <w:rsid w:val="00025F09"/>
    <w:rsid w:val="00026F1C"/>
    <w:rsid w:val="000346CC"/>
    <w:rsid w:val="000351FB"/>
    <w:rsid w:val="00035276"/>
    <w:rsid w:val="000358CA"/>
    <w:rsid w:val="000427B8"/>
    <w:rsid w:val="00051C3C"/>
    <w:rsid w:val="0005588B"/>
    <w:rsid w:val="00065AD8"/>
    <w:rsid w:val="000677CE"/>
    <w:rsid w:val="00071C7D"/>
    <w:rsid w:val="00072EC2"/>
    <w:rsid w:val="00076F97"/>
    <w:rsid w:val="000834B4"/>
    <w:rsid w:val="000870BB"/>
    <w:rsid w:val="00087D93"/>
    <w:rsid w:val="000942CA"/>
    <w:rsid w:val="000A16E2"/>
    <w:rsid w:val="000B02B2"/>
    <w:rsid w:val="000B0BC8"/>
    <w:rsid w:val="000B3EBE"/>
    <w:rsid w:val="000B6FA1"/>
    <w:rsid w:val="000C0C22"/>
    <w:rsid w:val="000C1D1E"/>
    <w:rsid w:val="000C28AE"/>
    <w:rsid w:val="000C50B1"/>
    <w:rsid w:val="000C5684"/>
    <w:rsid w:val="000E5C73"/>
    <w:rsid w:val="000E6C6F"/>
    <w:rsid w:val="000F31A6"/>
    <w:rsid w:val="000F47F2"/>
    <w:rsid w:val="000F4A35"/>
    <w:rsid w:val="000F5D62"/>
    <w:rsid w:val="001063C6"/>
    <w:rsid w:val="00110A90"/>
    <w:rsid w:val="00122621"/>
    <w:rsid w:val="0013218E"/>
    <w:rsid w:val="0013598B"/>
    <w:rsid w:val="001370F7"/>
    <w:rsid w:val="0014213E"/>
    <w:rsid w:val="00145CCD"/>
    <w:rsid w:val="001505D8"/>
    <w:rsid w:val="00150A49"/>
    <w:rsid w:val="00154790"/>
    <w:rsid w:val="00156423"/>
    <w:rsid w:val="001600E5"/>
    <w:rsid w:val="001638E4"/>
    <w:rsid w:val="00177180"/>
    <w:rsid w:val="00180E0D"/>
    <w:rsid w:val="001829A7"/>
    <w:rsid w:val="00184DE0"/>
    <w:rsid w:val="00185154"/>
    <w:rsid w:val="0019114D"/>
    <w:rsid w:val="00191F25"/>
    <w:rsid w:val="00194D54"/>
    <w:rsid w:val="00197349"/>
    <w:rsid w:val="001B2140"/>
    <w:rsid w:val="001B3747"/>
    <w:rsid w:val="001B6D9B"/>
    <w:rsid w:val="001C04F8"/>
    <w:rsid w:val="001D39CC"/>
    <w:rsid w:val="001D45CC"/>
    <w:rsid w:val="001D78C6"/>
    <w:rsid w:val="001E063C"/>
    <w:rsid w:val="001E50D0"/>
    <w:rsid w:val="001F16CA"/>
    <w:rsid w:val="00202C43"/>
    <w:rsid w:val="002078C1"/>
    <w:rsid w:val="002106C4"/>
    <w:rsid w:val="00210DEF"/>
    <w:rsid w:val="00222215"/>
    <w:rsid w:val="002251D6"/>
    <w:rsid w:val="00226B8D"/>
    <w:rsid w:val="00230355"/>
    <w:rsid w:val="0024685B"/>
    <w:rsid w:val="0025119D"/>
    <w:rsid w:val="00252201"/>
    <w:rsid w:val="00254DD8"/>
    <w:rsid w:val="00255006"/>
    <w:rsid w:val="00262C79"/>
    <w:rsid w:val="00291FEC"/>
    <w:rsid w:val="00292607"/>
    <w:rsid w:val="002A12F0"/>
    <w:rsid w:val="002A291B"/>
    <w:rsid w:val="002A590E"/>
    <w:rsid w:val="002A7204"/>
    <w:rsid w:val="002B121E"/>
    <w:rsid w:val="002B4003"/>
    <w:rsid w:val="002C5B1C"/>
    <w:rsid w:val="002D4062"/>
    <w:rsid w:val="002D4254"/>
    <w:rsid w:val="002D4E6E"/>
    <w:rsid w:val="002D5D94"/>
    <w:rsid w:val="002E0B6F"/>
    <w:rsid w:val="002E0CFE"/>
    <w:rsid w:val="002E3833"/>
    <w:rsid w:val="002F24B1"/>
    <w:rsid w:val="002F25F1"/>
    <w:rsid w:val="002F2F7A"/>
    <w:rsid w:val="002F4862"/>
    <w:rsid w:val="002F544D"/>
    <w:rsid w:val="00301893"/>
    <w:rsid w:val="00311C33"/>
    <w:rsid w:val="0031239C"/>
    <w:rsid w:val="00314406"/>
    <w:rsid w:val="0031699D"/>
    <w:rsid w:val="00327B67"/>
    <w:rsid w:val="003411DD"/>
    <w:rsid w:val="00342396"/>
    <w:rsid w:val="003577CF"/>
    <w:rsid w:val="00361BAC"/>
    <w:rsid w:val="00373762"/>
    <w:rsid w:val="0037398C"/>
    <w:rsid w:val="0037618F"/>
    <w:rsid w:val="003853C1"/>
    <w:rsid w:val="003855C2"/>
    <w:rsid w:val="00391F5B"/>
    <w:rsid w:val="00395339"/>
    <w:rsid w:val="00396860"/>
    <w:rsid w:val="003A04C1"/>
    <w:rsid w:val="003A08A5"/>
    <w:rsid w:val="003A2944"/>
    <w:rsid w:val="003A5751"/>
    <w:rsid w:val="003B0945"/>
    <w:rsid w:val="003B097F"/>
    <w:rsid w:val="003B4DCF"/>
    <w:rsid w:val="003C063B"/>
    <w:rsid w:val="003D3B71"/>
    <w:rsid w:val="003D56AF"/>
    <w:rsid w:val="003E1EF3"/>
    <w:rsid w:val="003E269E"/>
    <w:rsid w:val="003E2E43"/>
    <w:rsid w:val="003E5319"/>
    <w:rsid w:val="003F3C29"/>
    <w:rsid w:val="003F467F"/>
    <w:rsid w:val="00400649"/>
    <w:rsid w:val="00404615"/>
    <w:rsid w:val="004066A7"/>
    <w:rsid w:val="00407776"/>
    <w:rsid w:val="004254BC"/>
    <w:rsid w:val="00425859"/>
    <w:rsid w:val="00427353"/>
    <w:rsid w:val="00434395"/>
    <w:rsid w:val="00435276"/>
    <w:rsid w:val="0043564D"/>
    <w:rsid w:val="0043628A"/>
    <w:rsid w:val="00444AE6"/>
    <w:rsid w:val="004478FD"/>
    <w:rsid w:val="00447B00"/>
    <w:rsid w:val="004515AD"/>
    <w:rsid w:val="0045173A"/>
    <w:rsid w:val="004529CE"/>
    <w:rsid w:val="004700B3"/>
    <w:rsid w:val="004715BD"/>
    <w:rsid w:val="00471AEE"/>
    <w:rsid w:val="00483693"/>
    <w:rsid w:val="004901FB"/>
    <w:rsid w:val="00491C59"/>
    <w:rsid w:val="004A0A39"/>
    <w:rsid w:val="004A203A"/>
    <w:rsid w:val="004A37D3"/>
    <w:rsid w:val="004A7180"/>
    <w:rsid w:val="004B7DAE"/>
    <w:rsid w:val="004C2E84"/>
    <w:rsid w:val="004C7459"/>
    <w:rsid w:val="004E312D"/>
    <w:rsid w:val="004E6F2C"/>
    <w:rsid w:val="004E79A4"/>
    <w:rsid w:val="004F2A3C"/>
    <w:rsid w:val="004F3D6F"/>
    <w:rsid w:val="00502C2A"/>
    <w:rsid w:val="0051056D"/>
    <w:rsid w:val="00516E0C"/>
    <w:rsid w:val="00522A26"/>
    <w:rsid w:val="005331C9"/>
    <w:rsid w:val="0055219D"/>
    <w:rsid w:val="0055353F"/>
    <w:rsid w:val="0056633F"/>
    <w:rsid w:val="005713E5"/>
    <w:rsid w:val="0057553C"/>
    <w:rsid w:val="0058605D"/>
    <w:rsid w:val="00587F13"/>
    <w:rsid w:val="005951C5"/>
    <w:rsid w:val="005A435A"/>
    <w:rsid w:val="005A59E3"/>
    <w:rsid w:val="005B0C40"/>
    <w:rsid w:val="005C0993"/>
    <w:rsid w:val="005C1F00"/>
    <w:rsid w:val="005C35EC"/>
    <w:rsid w:val="005D0356"/>
    <w:rsid w:val="005D15BB"/>
    <w:rsid w:val="005D1F03"/>
    <w:rsid w:val="005D620B"/>
    <w:rsid w:val="005E259B"/>
    <w:rsid w:val="005E7717"/>
    <w:rsid w:val="006025ED"/>
    <w:rsid w:val="006078C2"/>
    <w:rsid w:val="00607E6C"/>
    <w:rsid w:val="006104DD"/>
    <w:rsid w:val="0061089F"/>
    <w:rsid w:val="00614A4B"/>
    <w:rsid w:val="006209B4"/>
    <w:rsid w:val="00622C35"/>
    <w:rsid w:val="00627256"/>
    <w:rsid w:val="00633235"/>
    <w:rsid w:val="00635822"/>
    <w:rsid w:val="00641A80"/>
    <w:rsid w:val="00647B2F"/>
    <w:rsid w:val="00651E92"/>
    <w:rsid w:val="0065325A"/>
    <w:rsid w:val="00666225"/>
    <w:rsid w:val="00674316"/>
    <w:rsid w:val="00684E74"/>
    <w:rsid w:val="00691003"/>
    <w:rsid w:val="006A06B2"/>
    <w:rsid w:val="006A1801"/>
    <w:rsid w:val="006A23FD"/>
    <w:rsid w:val="006B124E"/>
    <w:rsid w:val="006B3BCF"/>
    <w:rsid w:val="006B6588"/>
    <w:rsid w:val="006C5885"/>
    <w:rsid w:val="006C716E"/>
    <w:rsid w:val="006D22C5"/>
    <w:rsid w:val="006E5C73"/>
    <w:rsid w:val="006E7D1F"/>
    <w:rsid w:val="00701D48"/>
    <w:rsid w:val="0070217C"/>
    <w:rsid w:val="00706376"/>
    <w:rsid w:val="00722E0A"/>
    <w:rsid w:val="00725E33"/>
    <w:rsid w:val="00726A9E"/>
    <w:rsid w:val="007277CA"/>
    <w:rsid w:val="00733354"/>
    <w:rsid w:val="00734064"/>
    <w:rsid w:val="00745FCB"/>
    <w:rsid w:val="00752134"/>
    <w:rsid w:val="00757A95"/>
    <w:rsid w:val="00757BC4"/>
    <w:rsid w:val="00757BD8"/>
    <w:rsid w:val="007606BC"/>
    <w:rsid w:val="00770BF1"/>
    <w:rsid w:val="00774E81"/>
    <w:rsid w:val="00776E1F"/>
    <w:rsid w:val="0079432C"/>
    <w:rsid w:val="00794B84"/>
    <w:rsid w:val="00797C82"/>
    <w:rsid w:val="007A2CA5"/>
    <w:rsid w:val="007A4854"/>
    <w:rsid w:val="007A5346"/>
    <w:rsid w:val="007A7CFA"/>
    <w:rsid w:val="007B1B14"/>
    <w:rsid w:val="007C0A89"/>
    <w:rsid w:val="007C3939"/>
    <w:rsid w:val="007C599A"/>
    <w:rsid w:val="007D1BA2"/>
    <w:rsid w:val="007D36E6"/>
    <w:rsid w:val="007D6F85"/>
    <w:rsid w:val="007D6F8E"/>
    <w:rsid w:val="007F72B5"/>
    <w:rsid w:val="00813D62"/>
    <w:rsid w:val="00817D6F"/>
    <w:rsid w:val="00822503"/>
    <w:rsid w:val="00827E15"/>
    <w:rsid w:val="008331BC"/>
    <w:rsid w:val="00836823"/>
    <w:rsid w:val="00845732"/>
    <w:rsid w:val="008572D9"/>
    <w:rsid w:val="00861E13"/>
    <w:rsid w:val="0086628B"/>
    <w:rsid w:val="00892496"/>
    <w:rsid w:val="008A1FBE"/>
    <w:rsid w:val="008A59B7"/>
    <w:rsid w:val="008A6F22"/>
    <w:rsid w:val="008B17B1"/>
    <w:rsid w:val="008B19AE"/>
    <w:rsid w:val="008B5D8F"/>
    <w:rsid w:val="008C6F65"/>
    <w:rsid w:val="008D1A44"/>
    <w:rsid w:val="008D7E76"/>
    <w:rsid w:val="008E1696"/>
    <w:rsid w:val="008F4191"/>
    <w:rsid w:val="008F4E0B"/>
    <w:rsid w:val="00900B30"/>
    <w:rsid w:val="00907866"/>
    <w:rsid w:val="009142FE"/>
    <w:rsid w:val="0092693E"/>
    <w:rsid w:val="00927D19"/>
    <w:rsid w:val="009453E1"/>
    <w:rsid w:val="0095367E"/>
    <w:rsid w:val="009571D7"/>
    <w:rsid w:val="009603F7"/>
    <w:rsid w:val="00974DBC"/>
    <w:rsid w:val="00980F8F"/>
    <w:rsid w:val="0098372F"/>
    <w:rsid w:val="00984C50"/>
    <w:rsid w:val="00994343"/>
    <w:rsid w:val="009A199C"/>
    <w:rsid w:val="009A1E0A"/>
    <w:rsid w:val="009A4513"/>
    <w:rsid w:val="009B313C"/>
    <w:rsid w:val="009B5271"/>
    <w:rsid w:val="009C4BA9"/>
    <w:rsid w:val="009E27DD"/>
    <w:rsid w:val="009E361A"/>
    <w:rsid w:val="009E3BCF"/>
    <w:rsid w:val="009E539B"/>
    <w:rsid w:val="009F41A8"/>
    <w:rsid w:val="009F6CE7"/>
    <w:rsid w:val="00A04C49"/>
    <w:rsid w:val="00A07960"/>
    <w:rsid w:val="00A10D2C"/>
    <w:rsid w:val="00A2518A"/>
    <w:rsid w:val="00A3479E"/>
    <w:rsid w:val="00A41250"/>
    <w:rsid w:val="00A412AD"/>
    <w:rsid w:val="00A41D4E"/>
    <w:rsid w:val="00A42387"/>
    <w:rsid w:val="00A47C54"/>
    <w:rsid w:val="00A50A7D"/>
    <w:rsid w:val="00A52A8F"/>
    <w:rsid w:val="00A62CB5"/>
    <w:rsid w:val="00A63844"/>
    <w:rsid w:val="00A640FF"/>
    <w:rsid w:val="00A64CB3"/>
    <w:rsid w:val="00A66CA7"/>
    <w:rsid w:val="00A711F0"/>
    <w:rsid w:val="00A73EEC"/>
    <w:rsid w:val="00A7409C"/>
    <w:rsid w:val="00A8143C"/>
    <w:rsid w:val="00A83B38"/>
    <w:rsid w:val="00A85DAC"/>
    <w:rsid w:val="00A874DB"/>
    <w:rsid w:val="00AA6010"/>
    <w:rsid w:val="00AB0331"/>
    <w:rsid w:val="00AC3F87"/>
    <w:rsid w:val="00AC65C5"/>
    <w:rsid w:val="00AD4ABA"/>
    <w:rsid w:val="00AD6EC2"/>
    <w:rsid w:val="00AE2807"/>
    <w:rsid w:val="00AE4C26"/>
    <w:rsid w:val="00AF2204"/>
    <w:rsid w:val="00AF351F"/>
    <w:rsid w:val="00AF565F"/>
    <w:rsid w:val="00B012F3"/>
    <w:rsid w:val="00B1124E"/>
    <w:rsid w:val="00B1273F"/>
    <w:rsid w:val="00B13325"/>
    <w:rsid w:val="00B204E7"/>
    <w:rsid w:val="00B23471"/>
    <w:rsid w:val="00B25635"/>
    <w:rsid w:val="00B422A9"/>
    <w:rsid w:val="00B53493"/>
    <w:rsid w:val="00B55D18"/>
    <w:rsid w:val="00B56CC8"/>
    <w:rsid w:val="00B579ED"/>
    <w:rsid w:val="00B65281"/>
    <w:rsid w:val="00B65AB1"/>
    <w:rsid w:val="00B668FB"/>
    <w:rsid w:val="00B67D9D"/>
    <w:rsid w:val="00B7354E"/>
    <w:rsid w:val="00B76B56"/>
    <w:rsid w:val="00B76B8E"/>
    <w:rsid w:val="00B8347A"/>
    <w:rsid w:val="00BA45AE"/>
    <w:rsid w:val="00BA4F4A"/>
    <w:rsid w:val="00BA66AD"/>
    <w:rsid w:val="00BB49AA"/>
    <w:rsid w:val="00BC067A"/>
    <w:rsid w:val="00BC2DD3"/>
    <w:rsid w:val="00BC67B1"/>
    <w:rsid w:val="00BD46D2"/>
    <w:rsid w:val="00BD59AF"/>
    <w:rsid w:val="00BD7CF3"/>
    <w:rsid w:val="00BE16D4"/>
    <w:rsid w:val="00BE27CC"/>
    <w:rsid w:val="00BF1B4B"/>
    <w:rsid w:val="00BF2C53"/>
    <w:rsid w:val="00BF4A16"/>
    <w:rsid w:val="00C000C3"/>
    <w:rsid w:val="00C02E60"/>
    <w:rsid w:val="00C10095"/>
    <w:rsid w:val="00C135E7"/>
    <w:rsid w:val="00C147E2"/>
    <w:rsid w:val="00C15A30"/>
    <w:rsid w:val="00C240FD"/>
    <w:rsid w:val="00C2417C"/>
    <w:rsid w:val="00C24374"/>
    <w:rsid w:val="00C302EF"/>
    <w:rsid w:val="00C44708"/>
    <w:rsid w:val="00C56D8B"/>
    <w:rsid w:val="00C708B4"/>
    <w:rsid w:val="00C74C53"/>
    <w:rsid w:val="00C97431"/>
    <w:rsid w:val="00CB15F6"/>
    <w:rsid w:val="00CB25E4"/>
    <w:rsid w:val="00CB301B"/>
    <w:rsid w:val="00CC1653"/>
    <w:rsid w:val="00CD4982"/>
    <w:rsid w:val="00CD49C9"/>
    <w:rsid w:val="00CE5B82"/>
    <w:rsid w:val="00CF0794"/>
    <w:rsid w:val="00CF0F65"/>
    <w:rsid w:val="00D13795"/>
    <w:rsid w:val="00D1496C"/>
    <w:rsid w:val="00D17E14"/>
    <w:rsid w:val="00D241D3"/>
    <w:rsid w:val="00D24EC3"/>
    <w:rsid w:val="00D253E1"/>
    <w:rsid w:val="00D27FA8"/>
    <w:rsid w:val="00D365D3"/>
    <w:rsid w:val="00D403FC"/>
    <w:rsid w:val="00D42F7B"/>
    <w:rsid w:val="00D51EA3"/>
    <w:rsid w:val="00D55089"/>
    <w:rsid w:val="00D65684"/>
    <w:rsid w:val="00D659F6"/>
    <w:rsid w:val="00D84540"/>
    <w:rsid w:val="00D97A38"/>
    <w:rsid w:val="00DA76FA"/>
    <w:rsid w:val="00DB0A20"/>
    <w:rsid w:val="00DB2B49"/>
    <w:rsid w:val="00DB73A7"/>
    <w:rsid w:val="00DC27BA"/>
    <w:rsid w:val="00DC28FE"/>
    <w:rsid w:val="00DC290C"/>
    <w:rsid w:val="00DC33B4"/>
    <w:rsid w:val="00DC3F87"/>
    <w:rsid w:val="00DD055D"/>
    <w:rsid w:val="00DD4656"/>
    <w:rsid w:val="00DF01DF"/>
    <w:rsid w:val="00DF27DE"/>
    <w:rsid w:val="00DF4D87"/>
    <w:rsid w:val="00E010F8"/>
    <w:rsid w:val="00E018FB"/>
    <w:rsid w:val="00E04BB4"/>
    <w:rsid w:val="00E07E48"/>
    <w:rsid w:val="00E135C8"/>
    <w:rsid w:val="00E202A4"/>
    <w:rsid w:val="00E21D10"/>
    <w:rsid w:val="00E21DC0"/>
    <w:rsid w:val="00E323B3"/>
    <w:rsid w:val="00E365E4"/>
    <w:rsid w:val="00E4248F"/>
    <w:rsid w:val="00E42826"/>
    <w:rsid w:val="00E44BF5"/>
    <w:rsid w:val="00E57908"/>
    <w:rsid w:val="00E6763B"/>
    <w:rsid w:val="00E80DBC"/>
    <w:rsid w:val="00E80E8E"/>
    <w:rsid w:val="00EA1746"/>
    <w:rsid w:val="00EA77AB"/>
    <w:rsid w:val="00EB58BD"/>
    <w:rsid w:val="00EB6D30"/>
    <w:rsid w:val="00EB71E4"/>
    <w:rsid w:val="00EC0FFC"/>
    <w:rsid w:val="00EC15D3"/>
    <w:rsid w:val="00EC3CE8"/>
    <w:rsid w:val="00EC4126"/>
    <w:rsid w:val="00EC55F5"/>
    <w:rsid w:val="00EC7850"/>
    <w:rsid w:val="00ED2E33"/>
    <w:rsid w:val="00ED3024"/>
    <w:rsid w:val="00ED71B6"/>
    <w:rsid w:val="00EE24C9"/>
    <w:rsid w:val="00EE5474"/>
    <w:rsid w:val="00EE5780"/>
    <w:rsid w:val="00EF0E10"/>
    <w:rsid w:val="00EF2076"/>
    <w:rsid w:val="00EF2AFB"/>
    <w:rsid w:val="00F02DD8"/>
    <w:rsid w:val="00F070DA"/>
    <w:rsid w:val="00F0779B"/>
    <w:rsid w:val="00F10F6C"/>
    <w:rsid w:val="00F11F42"/>
    <w:rsid w:val="00F20BA4"/>
    <w:rsid w:val="00F23AC5"/>
    <w:rsid w:val="00F27050"/>
    <w:rsid w:val="00F27840"/>
    <w:rsid w:val="00F27A91"/>
    <w:rsid w:val="00F327C4"/>
    <w:rsid w:val="00F33D5C"/>
    <w:rsid w:val="00F37694"/>
    <w:rsid w:val="00F431FB"/>
    <w:rsid w:val="00F44A1A"/>
    <w:rsid w:val="00F523AD"/>
    <w:rsid w:val="00F5270B"/>
    <w:rsid w:val="00F5358C"/>
    <w:rsid w:val="00F53ACB"/>
    <w:rsid w:val="00F56C9D"/>
    <w:rsid w:val="00F60E46"/>
    <w:rsid w:val="00F6184E"/>
    <w:rsid w:val="00F63BC8"/>
    <w:rsid w:val="00F7216F"/>
    <w:rsid w:val="00F8007E"/>
    <w:rsid w:val="00F808B8"/>
    <w:rsid w:val="00F81C8A"/>
    <w:rsid w:val="00F84805"/>
    <w:rsid w:val="00F85E41"/>
    <w:rsid w:val="00F95BE0"/>
    <w:rsid w:val="00FA2B02"/>
    <w:rsid w:val="00FA63F6"/>
    <w:rsid w:val="00FB1115"/>
    <w:rsid w:val="00FB1FAA"/>
    <w:rsid w:val="00FB4AE4"/>
    <w:rsid w:val="00FC0E16"/>
    <w:rsid w:val="00FC5025"/>
    <w:rsid w:val="00FD33F9"/>
    <w:rsid w:val="00FD5739"/>
    <w:rsid w:val="00FE5CDD"/>
    <w:rsid w:val="00FE7591"/>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14:docId w14:val="15A43FF0"/>
  <w15:chartTrackingRefBased/>
  <w15:docId w15:val="{B80AD8CB-3D9B-464D-AD2E-0446B8C0F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062"/>
    <w:pPr>
      <w:spacing w:before="0" w:after="0"/>
    </w:p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EC55F5"/>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C55F5"/>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EC55F5"/>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C55F5"/>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15"/>
      </w:numPr>
      <w:tabs>
        <w:tab w:val="right" w:leader="dot" w:pos="8789"/>
      </w:tabs>
    </w:pPr>
  </w:style>
  <w:style w:type="paragraph" w:customStyle="1" w:styleId="NbrHeading2">
    <w:name w:val="Nbr Heading 2"/>
    <w:basedOn w:val="Heading2"/>
    <w:qFormat/>
    <w:rsid w:val="00291FEC"/>
    <w:pPr>
      <w:numPr>
        <w:ilvl w:val="1"/>
        <w:numId w:val="15"/>
      </w:numPr>
    </w:pPr>
  </w:style>
  <w:style w:type="paragraph" w:customStyle="1" w:styleId="NbrHeading3">
    <w:name w:val="Nbr Heading 3"/>
    <w:basedOn w:val="Heading3"/>
    <w:qFormat/>
    <w:rsid w:val="00291FEC"/>
    <w:pPr>
      <w:numPr>
        <w:ilvl w:val="2"/>
        <w:numId w:val="15"/>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rsid w:val="002F2F7A"/>
    <w:pPr>
      <w:tabs>
        <w:tab w:val="left" w:pos="567"/>
        <w:tab w:val="right" w:pos="9639"/>
      </w:tabs>
    </w:pPr>
    <w:rPr>
      <w:noProof/>
      <w:sz w:val="18"/>
    </w:rPr>
  </w:style>
  <w:style w:type="character" w:customStyle="1" w:styleId="FooterChar">
    <w:name w:val="Footer Char"/>
    <w:basedOn w:val="DefaultParagraphFont"/>
    <w:link w:val="Footer"/>
    <w:uiPriority w:val="99"/>
    <w:rsid w:val="002D4062"/>
    <w:rPr>
      <w:noProof/>
      <w:sz w:val="18"/>
    </w:rPr>
  </w:style>
  <w:style w:type="paragraph" w:styleId="ListNumber0">
    <w:name w:val="List Number"/>
    <w:basedOn w:val="Normal"/>
    <w:uiPriority w:val="1"/>
    <w:qFormat/>
    <w:rsid w:val="00E80E8E"/>
    <w:pPr>
      <w:numPr>
        <w:numId w:val="11"/>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EC55F5"/>
    <w:pPr>
      <w:numPr>
        <w:numId w:val="13"/>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qFormat/>
    <w:rsid w:val="0061089F"/>
  </w:style>
  <w:style w:type="character" w:styleId="Hyperlink">
    <w:name w:val="Hyperlink"/>
    <w:basedOn w:val="DefaultParagraphFont"/>
    <w:uiPriority w:val="99"/>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EC55F5"/>
    <w:pPr>
      <w:numPr>
        <w:numId w:val="1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9"/>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0"/>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A711F0"/>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EC55F5"/>
    <w:pPr>
      <w:numPr>
        <w:ilvl w:val="1"/>
      </w:numPr>
    </w:pPr>
  </w:style>
  <w:style w:type="paragraph" w:styleId="ListBullet3">
    <w:name w:val="List Bullet 3"/>
    <w:basedOn w:val="ListBullet0"/>
    <w:uiPriority w:val="19"/>
    <w:semiHidden/>
    <w:rsid w:val="00EC55F5"/>
    <w:pPr>
      <w:numPr>
        <w:ilvl w:val="2"/>
      </w:numPr>
    </w:pPr>
  </w:style>
  <w:style w:type="paragraph" w:styleId="ListBullet4">
    <w:name w:val="List Bullet 4"/>
    <w:basedOn w:val="ListBullet0"/>
    <w:uiPriority w:val="19"/>
    <w:semiHidden/>
    <w:rsid w:val="00EC55F5"/>
    <w:pPr>
      <w:numPr>
        <w:ilvl w:val="3"/>
      </w:numPr>
    </w:pPr>
  </w:style>
  <w:style w:type="paragraph" w:styleId="ListBullet5">
    <w:name w:val="List Bullet 5"/>
    <w:basedOn w:val="ListBullet0"/>
    <w:uiPriority w:val="19"/>
    <w:semiHidden/>
    <w:rsid w:val="00EC55F5"/>
    <w:pPr>
      <w:numPr>
        <w:ilvl w:val="4"/>
      </w:numPr>
    </w:pPr>
  </w:style>
  <w:style w:type="paragraph" w:customStyle="1" w:styleId="ListBullet6">
    <w:name w:val="List Bullet 6"/>
    <w:basedOn w:val="ListBullet0"/>
    <w:uiPriority w:val="19"/>
    <w:semiHidden/>
    <w:rsid w:val="00EC55F5"/>
    <w:pPr>
      <w:numPr>
        <w:ilvl w:val="5"/>
      </w:numPr>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EC55F5"/>
    <w:pPr>
      <w:numPr>
        <w:numId w:val="12"/>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EC55F5"/>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EC55F5"/>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E21D10"/>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AC3F87"/>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ascii="Trebuchet MS" w:eastAsia="Times New Roman" w:hAnsi="Trebuchet MS" w:cs="Times New Roman"/>
      <w:color w:val="000000"/>
      <w:spacing w:val="2"/>
      <w:szCs w:val="18"/>
    </w:rPr>
  </w:style>
  <w:style w:type="paragraph" w:customStyle="1" w:styleId="MinutesResolution">
    <w:name w:val="Minutes Resolution"/>
    <w:basedOn w:val="Normal"/>
    <w:rsid w:val="00AC3F87"/>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ascii="Trebuchet MS" w:eastAsia="Times New Roman" w:hAnsi="Trebuchet MS" w:cs="Times New Roman"/>
      <w:color w:val="000000"/>
      <w:spacing w:val="2"/>
      <w:position w:val="4"/>
      <w:szCs w:val="20"/>
    </w:rPr>
  </w:style>
  <w:style w:type="paragraph" w:customStyle="1" w:styleId="MinutesMOVEDBY">
    <w:name w:val="Minutes MOVED BY"/>
    <w:basedOn w:val="MinutesResolution"/>
    <w:rsid w:val="00AC3F87"/>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character" w:customStyle="1" w:styleId="DocSubtitle">
    <w:name w:val="DocSubtitle"/>
    <w:basedOn w:val="DefaultParagraphFont"/>
    <w:uiPriority w:val="10"/>
    <w:rsid w:val="009142FE"/>
  </w:style>
  <w:style w:type="character" w:customStyle="1" w:styleId="DocTitle">
    <w:name w:val="DocTitle"/>
    <w:basedOn w:val="DefaultParagraphFont"/>
    <w:uiPriority w:val="10"/>
    <w:rsid w:val="009142FE"/>
  </w:style>
  <w:style w:type="table" w:customStyle="1" w:styleId="RecommendationTable">
    <w:name w:val="Recommendation Table"/>
    <w:basedOn w:val="V2020Table"/>
    <w:uiPriority w:val="99"/>
    <w:rsid w:val="00A50A7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rsid w:val="00A711F0"/>
    <w:rPr>
      <w:smallCaps/>
      <w:color w:val="5A5A5A" w:themeColor="text1" w:themeTint="A5"/>
    </w:rPr>
  </w:style>
  <w:style w:type="paragraph" w:styleId="FootnoteText">
    <w:name w:val="footnote text"/>
    <w:basedOn w:val="Normal"/>
    <w:link w:val="FootnoteTextChar"/>
    <w:uiPriority w:val="99"/>
    <w:semiHidden/>
    <w:unhideWhenUsed/>
    <w:rsid w:val="00D51EA3"/>
    <w:rPr>
      <w:sz w:val="20"/>
      <w:szCs w:val="20"/>
    </w:rPr>
  </w:style>
  <w:style w:type="character" w:customStyle="1" w:styleId="FootnoteTextChar">
    <w:name w:val="Footnote Text Char"/>
    <w:basedOn w:val="DefaultParagraphFont"/>
    <w:link w:val="FootnoteText"/>
    <w:uiPriority w:val="99"/>
    <w:semiHidden/>
    <w:rsid w:val="00D51EA3"/>
    <w:rPr>
      <w:sz w:val="20"/>
      <w:szCs w:val="20"/>
    </w:rPr>
  </w:style>
  <w:style w:type="character" w:styleId="FootnoteReference">
    <w:name w:val="footnote reference"/>
    <w:basedOn w:val="DefaultParagraphFont"/>
    <w:uiPriority w:val="99"/>
    <w:semiHidden/>
    <w:unhideWhenUsed/>
    <w:rsid w:val="00D51EA3"/>
    <w:rPr>
      <w:vertAlign w:val="superscript"/>
    </w:rPr>
  </w:style>
  <w:style w:type="character" w:styleId="CommentReference">
    <w:name w:val="annotation reference"/>
    <w:basedOn w:val="DefaultParagraphFont"/>
    <w:uiPriority w:val="99"/>
    <w:semiHidden/>
    <w:unhideWhenUsed/>
    <w:rsid w:val="00C44708"/>
    <w:rPr>
      <w:sz w:val="16"/>
      <w:szCs w:val="16"/>
    </w:rPr>
  </w:style>
  <w:style w:type="paragraph" w:styleId="CommentText">
    <w:name w:val="annotation text"/>
    <w:basedOn w:val="Normal"/>
    <w:link w:val="CommentTextChar"/>
    <w:uiPriority w:val="99"/>
    <w:unhideWhenUsed/>
    <w:rsid w:val="00C44708"/>
    <w:rPr>
      <w:sz w:val="20"/>
      <w:szCs w:val="20"/>
    </w:rPr>
  </w:style>
  <w:style w:type="character" w:customStyle="1" w:styleId="CommentTextChar">
    <w:name w:val="Comment Text Char"/>
    <w:basedOn w:val="DefaultParagraphFont"/>
    <w:link w:val="CommentText"/>
    <w:uiPriority w:val="99"/>
    <w:rsid w:val="00C44708"/>
    <w:rPr>
      <w:sz w:val="20"/>
      <w:szCs w:val="20"/>
    </w:rPr>
  </w:style>
  <w:style w:type="paragraph" w:styleId="CommentSubject">
    <w:name w:val="annotation subject"/>
    <w:basedOn w:val="CommentText"/>
    <w:next w:val="CommentText"/>
    <w:link w:val="CommentSubjectChar"/>
    <w:uiPriority w:val="99"/>
    <w:semiHidden/>
    <w:unhideWhenUsed/>
    <w:rsid w:val="00C44708"/>
    <w:rPr>
      <w:b/>
      <w:bCs/>
    </w:rPr>
  </w:style>
  <w:style w:type="character" w:customStyle="1" w:styleId="CommentSubjectChar">
    <w:name w:val="Comment Subject Char"/>
    <w:basedOn w:val="CommentTextChar"/>
    <w:link w:val="CommentSubject"/>
    <w:uiPriority w:val="99"/>
    <w:semiHidden/>
    <w:rsid w:val="00C447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vaccho.org.au/consultancy/cs/" TargetMode="External"/><Relationship Id="rId13" Type="http://schemas.openxmlformats.org/officeDocument/2006/relationships/hyperlink" Target="http://fpdn.org.au/the-redfern-statement-disability-workshop-communique/" TargetMode="External"/><Relationship Id="rId3" Type="http://schemas.openxmlformats.org/officeDocument/2006/relationships/hyperlink" Target="https://www.homelessnessaustralia.org.au/sites/homelessnessaus/files/2017-07/Homelessness_and_ATSIv3.pdf" TargetMode="External"/><Relationship Id="rId7" Type="http://schemas.openxmlformats.org/officeDocument/2006/relationships/hyperlink" Target="http://www.racismnoway.com.au/teaching-resources/anti-racism-activities/lesson-ideas/institutional-racism/" TargetMode="External"/><Relationship Id="rId12" Type="http://schemas.openxmlformats.org/officeDocument/2006/relationships/hyperlink" Target="https://www.aihw.gov.au/getmedia/53cc66dd-d215-44d8-b7b0-d3e903f3aa42/20635.pdf.aspx?inline=true" TargetMode="External"/><Relationship Id="rId2" Type="http://schemas.openxmlformats.org/officeDocument/2006/relationships/hyperlink" Target="https://www.aihw.gov.au/getmedia/9844cefb-7745-4dd8-9ee2-f4d1c3d6a727/19787-AH16.pdf.aspx?inline=true" TargetMode="External"/><Relationship Id="rId1" Type="http://schemas.openxmlformats.org/officeDocument/2006/relationships/hyperlink" Target="https://www.humanrights.gov.au/sites/default/files/document/publication/CTG%202018_FINAL-WEB.pdf" TargetMode="External"/><Relationship Id="rId6" Type="http://schemas.openxmlformats.org/officeDocument/2006/relationships/hyperlink" Target="https://www.aph.gov.au/Parliamentary_Business/Committees/Senate/Finance_and_Public_Administration/Commonwealth_Indigenous/Report" TargetMode="External"/><Relationship Id="rId11" Type="http://schemas.openxmlformats.org/officeDocument/2006/relationships/hyperlink" Target="http://mspgh.unimelb.edu.au/__data/assets/pdf_file/0005/2546402/2017-AnnualUpdate.pdf" TargetMode="External"/><Relationship Id="rId5" Type="http://schemas.openxmlformats.org/officeDocument/2006/relationships/hyperlink" Target="https://www.humanrights.gov.au/sites/default/files/document/publication/CTG%202018_FINAL-WEB.pdf" TargetMode="External"/><Relationship Id="rId10" Type="http://schemas.openxmlformats.org/officeDocument/2006/relationships/hyperlink" Target="http://www.un.org/sustainabledevelopment/wp-content/uploads/2017/03/ENGLISH_Why_it_Matters_Goal_3_Health.pdf" TargetMode="External"/><Relationship Id="rId4" Type="http://schemas.openxmlformats.org/officeDocument/2006/relationships/hyperlink" Target="https://www.ahuri.edu.au/__data/assets/pdf_file/0010/7012/AHURI_Positioning_Paper_No168_Housing-and-Indigenous-people-living-with-a-disability-lived-experiences-of-housing-and-community-infrastructure.pdf" TargetMode="External"/><Relationship Id="rId9" Type="http://schemas.openxmlformats.org/officeDocument/2006/relationships/hyperlink" Target="https://www.sbs.com.au/news/indigenous-patients-to-get-culturally-appropriate-waiting-rooms-in-hospitals" TargetMode="Externa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7DFAC-33D9-45F4-A399-E4F8AC842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15</Pages>
  <Words>3448</Words>
  <Characters>19655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Ché Stockley</dc:creator>
  <cp:keywords/>
  <dc:description/>
  <cp:lastModifiedBy>Amy Johnston</cp:lastModifiedBy>
  <cp:revision>14</cp:revision>
  <cp:lastPrinted>2018-04-13T04:11:00Z</cp:lastPrinted>
  <dcterms:created xsi:type="dcterms:W3CDTF">2018-04-20T00:17:00Z</dcterms:created>
  <dcterms:modified xsi:type="dcterms:W3CDTF">2018-04-23T02:45:00Z</dcterms:modified>
</cp:coreProperties>
</file>