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4CE9" w:rsidRPr="006C4CE9" w:rsidRDefault="00581044" w:rsidP="006C4CE9">
      <w:pPr>
        <w:spacing w:before="0" w:line="276" w:lineRule="auto"/>
        <w:jc w:val="right"/>
        <w:rPr>
          <w:rFonts w:eastAsiaTheme="minorHAnsi" w:cs="Arial"/>
          <w:b/>
          <w:sz w:val="32"/>
          <w:szCs w:val="32"/>
        </w:rPr>
      </w:pPr>
      <w:bookmarkStart w:id="0" w:name="_GoBack"/>
      <w:bookmarkEnd w:id="0"/>
      <w:r>
        <w:rPr>
          <w:rFonts w:eastAsiaTheme="minorHAnsi" w:cs="Arial"/>
          <w:b/>
          <w:sz w:val="32"/>
          <w:szCs w:val="32"/>
        </w:rPr>
        <w:t xml:space="preserve"> </w:t>
      </w:r>
      <w:r w:rsidR="006C4CE9" w:rsidRPr="006C4CE9">
        <w:rPr>
          <w:rFonts w:asciiTheme="minorHAnsi" w:eastAsiaTheme="minorHAnsi" w:hAnsiTheme="minorHAnsi" w:cstheme="minorBidi"/>
          <w:noProof/>
          <w:sz w:val="22"/>
          <w:szCs w:val="22"/>
          <w:lang w:eastAsia="en-AU"/>
        </w:rPr>
        <w:drawing>
          <wp:inline distT="0" distB="0" distL="0" distR="0" wp14:anchorId="3460586F" wp14:editId="6F2D786E">
            <wp:extent cx="1466850" cy="476250"/>
            <wp:effectExtent l="0" t="0" r="0" b="0"/>
            <wp:docPr id="3" name="Picture 3" descr="C:\Users\ABF\AppData\Local\Microsoft\Windows\Temporary Internet Files\Content.Outlook\T3ZKFKJP\ABF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F\AppData\Local\Microsoft\Windows\Temporary Internet Files\Content.Outlook\T3ZKFKJP\ABFLog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66850" cy="476250"/>
                    </a:xfrm>
                    <a:prstGeom prst="rect">
                      <a:avLst/>
                    </a:prstGeom>
                    <a:noFill/>
                    <a:ln>
                      <a:noFill/>
                    </a:ln>
                  </pic:spPr>
                </pic:pic>
              </a:graphicData>
            </a:graphic>
          </wp:inline>
        </w:drawing>
      </w:r>
    </w:p>
    <w:p w:rsidR="006C4CE9" w:rsidRDefault="006C4CE9" w:rsidP="006C4CE9">
      <w:pPr>
        <w:spacing w:before="120"/>
        <w:jc w:val="center"/>
        <w:rPr>
          <w:rFonts w:eastAsiaTheme="minorHAnsi" w:cs="Arial"/>
          <w:b/>
          <w:sz w:val="32"/>
          <w:szCs w:val="32"/>
        </w:rPr>
      </w:pPr>
      <w:r w:rsidRPr="006C4CE9">
        <w:rPr>
          <w:rFonts w:eastAsiaTheme="minorHAnsi" w:cs="Arial"/>
          <w:b/>
          <w:bCs/>
          <w:color w:val="000000"/>
          <w:sz w:val="32"/>
          <w:szCs w:val="32"/>
        </w:rPr>
        <w:t xml:space="preserve">ABF response to </w:t>
      </w:r>
      <w:r>
        <w:rPr>
          <w:rFonts w:eastAsiaTheme="minorHAnsi" w:cs="Arial"/>
          <w:b/>
          <w:sz w:val="32"/>
          <w:szCs w:val="32"/>
        </w:rPr>
        <w:t>National Di</w:t>
      </w:r>
      <w:r w:rsidR="00E75D12">
        <w:rPr>
          <w:rFonts w:eastAsiaTheme="minorHAnsi" w:cs="Arial"/>
          <w:b/>
          <w:sz w:val="32"/>
          <w:szCs w:val="32"/>
        </w:rPr>
        <w:t xml:space="preserve">sability Employment Framework </w:t>
      </w:r>
      <w:r>
        <w:rPr>
          <w:rFonts w:eastAsiaTheme="minorHAnsi" w:cs="Arial"/>
          <w:b/>
          <w:sz w:val="32"/>
          <w:szCs w:val="32"/>
        </w:rPr>
        <w:t>Discussion Paper</w:t>
      </w:r>
      <w:r w:rsidR="00E75D12">
        <w:rPr>
          <w:rFonts w:eastAsiaTheme="minorHAnsi" w:cs="Arial"/>
          <w:b/>
          <w:sz w:val="32"/>
          <w:szCs w:val="32"/>
        </w:rPr>
        <w:t xml:space="preserve"> – Round 2</w:t>
      </w:r>
    </w:p>
    <w:p w:rsidR="006C4CE9" w:rsidRPr="006C4CE9" w:rsidRDefault="00E75D12" w:rsidP="006C4CE9">
      <w:pPr>
        <w:spacing w:before="120"/>
        <w:jc w:val="center"/>
        <w:rPr>
          <w:rFonts w:eastAsiaTheme="minorHAnsi" w:cs="Arial"/>
          <w:b/>
          <w:sz w:val="32"/>
          <w:szCs w:val="32"/>
        </w:rPr>
      </w:pPr>
      <w:r>
        <w:rPr>
          <w:rFonts w:eastAsiaTheme="minorHAnsi" w:cs="Arial"/>
          <w:b/>
          <w:sz w:val="32"/>
          <w:szCs w:val="32"/>
        </w:rPr>
        <w:t>December</w:t>
      </w:r>
      <w:r w:rsidR="006C4CE9">
        <w:rPr>
          <w:rFonts w:eastAsiaTheme="minorHAnsi" w:cs="Arial"/>
          <w:b/>
          <w:sz w:val="32"/>
          <w:szCs w:val="32"/>
        </w:rPr>
        <w:t xml:space="preserve"> 2015</w:t>
      </w:r>
    </w:p>
    <w:p w:rsidR="0051687D" w:rsidRPr="006014B1" w:rsidRDefault="0051687D" w:rsidP="0051687D">
      <w:pPr>
        <w:pStyle w:val="NoSpacing"/>
        <w:spacing w:after="120"/>
        <w:rPr>
          <w:rFonts w:cs="Arial"/>
          <w:b/>
          <w:sz w:val="28"/>
          <w:szCs w:val="28"/>
        </w:rPr>
      </w:pPr>
      <w:r w:rsidRPr="006014B1">
        <w:rPr>
          <w:rFonts w:cs="Arial"/>
          <w:b/>
          <w:sz w:val="28"/>
          <w:szCs w:val="28"/>
        </w:rPr>
        <w:t>About the Australian Blindness Forum</w:t>
      </w:r>
    </w:p>
    <w:p w:rsidR="0051687D" w:rsidRPr="00222F12" w:rsidRDefault="0051687D" w:rsidP="0051687D">
      <w:pPr>
        <w:pStyle w:val="NoSpacing"/>
        <w:spacing w:before="120" w:after="120"/>
        <w:rPr>
          <w:rFonts w:cs="Arial"/>
          <w:szCs w:val="24"/>
        </w:rPr>
      </w:pPr>
      <w:r w:rsidRPr="00222F12">
        <w:rPr>
          <w:rFonts w:cs="Arial"/>
          <w:szCs w:val="24"/>
        </w:rPr>
        <w:t>The Australian Blindness Forum (ABF) was formed in 1992 and is funded only by its members. ABF is an Australian public company limited by guarantee and governed by a Board of Directors.</w:t>
      </w:r>
      <w:r>
        <w:rPr>
          <w:rFonts w:cs="Arial"/>
          <w:szCs w:val="24"/>
        </w:rPr>
        <w:t xml:space="preserve"> </w:t>
      </w:r>
      <w:r w:rsidRPr="00222F12">
        <w:rPr>
          <w:rFonts w:cs="Arial"/>
          <w:szCs w:val="24"/>
        </w:rPr>
        <w:t xml:space="preserve">ABF is the peak body representing </w:t>
      </w:r>
      <w:r>
        <w:rPr>
          <w:rFonts w:cs="Arial"/>
          <w:szCs w:val="24"/>
        </w:rPr>
        <w:t xml:space="preserve">blindness, low vision and </w:t>
      </w:r>
      <w:r w:rsidRPr="00222F12">
        <w:rPr>
          <w:rFonts w:cs="Arial"/>
          <w:szCs w:val="24"/>
        </w:rPr>
        <w:t>rehabilitation in the blindness sector.</w:t>
      </w:r>
    </w:p>
    <w:p w:rsidR="003E552B" w:rsidRDefault="003E552B" w:rsidP="0051687D">
      <w:pPr>
        <w:pStyle w:val="NoSpacing"/>
        <w:spacing w:before="120" w:after="120"/>
        <w:rPr>
          <w:rFonts w:cs="Arial"/>
          <w:szCs w:val="24"/>
        </w:rPr>
      </w:pPr>
      <w:r w:rsidRPr="00222F12">
        <w:rPr>
          <w:rFonts w:cs="Arial"/>
          <w:szCs w:val="24"/>
        </w:rPr>
        <w:t>ABF is represented in every state and territory of Australia and all major organisations providing services to Australians who are blind or vision impaired are members of ABF.</w:t>
      </w:r>
    </w:p>
    <w:p w:rsidR="0051687D" w:rsidRDefault="0051687D" w:rsidP="0051687D">
      <w:pPr>
        <w:pStyle w:val="NoSpacing"/>
        <w:spacing w:before="120" w:after="120"/>
        <w:rPr>
          <w:rFonts w:cs="Arial"/>
          <w:szCs w:val="24"/>
        </w:rPr>
      </w:pPr>
      <w:r w:rsidRPr="00222F12">
        <w:rPr>
          <w:rFonts w:cs="Arial"/>
          <w:szCs w:val="24"/>
        </w:rPr>
        <w:t>ABF combines the voice of people who are blind or vision impaired with that of the specialist service providers across the sector. As Australia’s representative to the World Blind Union, the ABF has strong connections with the international blind and vision impaired community.</w:t>
      </w:r>
      <w:r>
        <w:rPr>
          <w:rFonts w:cs="Arial"/>
          <w:szCs w:val="24"/>
        </w:rPr>
        <w:t xml:space="preserve"> </w:t>
      </w:r>
    </w:p>
    <w:p w:rsidR="00601F93" w:rsidRPr="00601F93" w:rsidRDefault="00601F93" w:rsidP="00601F93">
      <w:pPr>
        <w:autoSpaceDE w:val="0"/>
        <w:autoSpaceDN w:val="0"/>
        <w:adjustRightInd w:val="0"/>
        <w:spacing w:before="120" w:after="120"/>
        <w:rPr>
          <w:rFonts w:eastAsiaTheme="minorHAnsi" w:cs="Arial"/>
          <w:color w:val="000000"/>
          <w:szCs w:val="24"/>
        </w:rPr>
      </w:pPr>
      <w:r w:rsidRPr="00601F93">
        <w:rPr>
          <w:rFonts w:eastAsiaTheme="minorHAnsi" w:cs="Arial"/>
          <w:color w:val="000000"/>
          <w:szCs w:val="24"/>
        </w:rPr>
        <w:t>The ABF members who support this submission are:</w:t>
      </w:r>
    </w:p>
    <w:p w:rsidR="00601F93" w:rsidRPr="00601F93" w:rsidRDefault="00AF71A6" w:rsidP="00601F93">
      <w:pPr>
        <w:numPr>
          <w:ilvl w:val="0"/>
          <w:numId w:val="7"/>
        </w:numPr>
        <w:shd w:val="clear" w:color="auto" w:fill="FFFFFF"/>
        <w:spacing w:before="0" w:after="200" w:line="276" w:lineRule="auto"/>
        <w:ind w:left="924" w:hanging="357"/>
        <w:contextualSpacing/>
        <w:rPr>
          <w:rFonts w:cs="Arial"/>
          <w:szCs w:val="24"/>
          <w:lang w:eastAsia="en-AU"/>
        </w:rPr>
      </w:pPr>
      <w:hyperlink r:id="rId9" w:tgtFrame="_blank" w:history="1">
        <w:r w:rsidR="00601F93" w:rsidRPr="00601F93">
          <w:rPr>
            <w:rFonts w:cs="Arial"/>
            <w:szCs w:val="24"/>
            <w:lang w:eastAsia="en-AU"/>
          </w:rPr>
          <w:t>Blind Citizens Australia</w:t>
        </w:r>
      </w:hyperlink>
      <w:r w:rsidR="00601F93" w:rsidRPr="00601F93">
        <w:rPr>
          <w:rFonts w:cs="Arial"/>
          <w:szCs w:val="24"/>
          <w:lang w:eastAsia="en-AU"/>
        </w:rPr>
        <w:t xml:space="preserve"> </w:t>
      </w:r>
    </w:p>
    <w:p w:rsidR="00601F93" w:rsidRPr="00601F93" w:rsidRDefault="00AF71A6" w:rsidP="00601F93">
      <w:pPr>
        <w:numPr>
          <w:ilvl w:val="0"/>
          <w:numId w:val="7"/>
        </w:numPr>
        <w:shd w:val="clear" w:color="auto" w:fill="FFFFFF"/>
        <w:spacing w:before="0" w:after="200" w:line="276" w:lineRule="auto"/>
        <w:ind w:left="924" w:hanging="357"/>
        <w:contextualSpacing/>
        <w:rPr>
          <w:rFonts w:cs="Arial"/>
          <w:szCs w:val="24"/>
          <w:lang w:eastAsia="en-AU"/>
        </w:rPr>
      </w:pPr>
      <w:hyperlink r:id="rId10" w:history="1">
        <w:r w:rsidR="00601F93" w:rsidRPr="00601F93">
          <w:rPr>
            <w:rFonts w:cs="Arial"/>
            <w:szCs w:val="24"/>
            <w:lang w:eastAsia="en-AU"/>
          </w:rPr>
          <w:t xml:space="preserve">Blind Sports Australia </w:t>
        </w:r>
      </w:hyperlink>
      <w:r w:rsidR="00601F93" w:rsidRPr="00601F93">
        <w:rPr>
          <w:rFonts w:cs="Arial"/>
          <w:szCs w:val="24"/>
          <w:lang w:eastAsia="en-AU"/>
        </w:rPr>
        <w:t xml:space="preserve"> </w:t>
      </w:r>
    </w:p>
    <w:p w:rsidR="00601F93" w:rsidRPr="00601F93" w:rsidRDefault="00AF71A6" w:rsidP="00601F93">
      <w:pPr>
        <w:numPr>
          <w:ilvl w:val="0"/>
          <w:numId w:val="7"/>
        </w:numPr>
        <w:shd w:val="clear" w:color="auto" w:fill="FFFFFF"/>
        <w:spacing w:before="0" w:after="200" w:line="276" w:lineRule="auto"/>
        <w:ind w:left="924" w:hanging="357"/>
        <w:contextualSpacing/>
        <w:rPr>
          <w:rFonts w:cs="Arial"/>
          <w:szCs w:val="24"/>
          <w:lang w:eastAsia="en-AU"/>
        </w:rPr>
      </w:pPr>
      <w:hyperlink r:id="rId11" w:tgtFrame="_blank" w:history="1">
        <w:r w:rsidR="00601F93" w:rsidRPr="00601F93">
          <w:rPr>
            <w:rFonts w:cs="Arial"/>
            <w:szCs w:val="24"/>
            <w:lang w:eastAsia="en-AU"/>
          </w:rPr>
          <w:t xml:space="preserve">Blind Welfare Association of SA </w:t>
        </w:r>
      </w:hyperlink>
      <w:r w:rsidR="00601F93" w:rsidRPr="00601F93">
        <w:rPr>
          <w:rFonts w:cs="Arial"/>
          <w:szCs w:val="24"/>
          <w:lang w:eastAsia="en-AU"/>
        </w:rPr>
        <w:t xml:space="preserve"> </w:t>
      </w:r>
    </w:p>
    <w:p w:rsidR="00601F93" w:rsidRPr="00601F93" w:rsidRDefault="00AF71A6" w:rsidP="00601F93">
      <w:pPr>
        <w:numPr>
          <w:ilvl w:val="0"/>
          <w:numId w:val="7"/>
        </w:numPr>
        <w:shd w:val="clear" w:color="auto" w:fill="FFFFFF"/>
        <w:spacing w:before="0" w:after="200" w:line="276" w:lineRule="auto"/>
        <w:ind w:left="924" w:hanging="357"/>
        <w:contextualSpacing/>
        <w:rPr>
          <w:rFonts w:cs="Arial"/>
          <w:szCs w:val="24"/>
          <w:lang w:eastAsia="en-AU"/>
        </w:rPr>
      </w:pPr>
      <w:hyperlink r:id="rId12" w:history="1">
        <w:r w:rsidR="00601F93" w:rsidRPr="00601F93">
          <w:rPr>
            <w:rFonts w:cs="Arial"/>
            <w:szCs w:val="24"/>
            <w:lang w:eastAsia="en-AU"/>
          </w:rPr>
          <w:t>Canberra Blind Society</w:t>
        </w:r>
      </w:hyperlink>
      <w:r w:rsidR="00601F93" w:rsidRPr="00601F93">
        <w:rPr>
          <w:rFonts w:cs="Arial"/>
          <w:szCs w:val="24"/>
          <w:lang w:eastAsia="en-AU"/>
        </w:rPr>
        <w:t xml:space="preserve"> </w:t>
      </w:r>
    </w:p>
    <w:p w:rsidR="00601F93" w:rsidRPr="00601F93" w:rsidRDefault="00AF71A6" w:rsidP="00601F93">
      <w:pPr>
        <w:numPr>
          <w:ilvl w:val="0"/>
          <w:numId w:val="7"/>
        </w:numPr>
        <w:shd w:val="clear" w:color="auto" w:fill="FFFFFF"/>
        <w:spacing w:before="0" w:after="200" w:line="276" w:lineRule="auto"/>
        <w:ind w:left="924" w:hanging="357"/>
        <w:contextualSpacing/>
        <w:rPr>
          <w:rFonts w:cs="Arial"/>
          <w:szCs w:val="24"/>
          <w:lang w:eastAsia="en-AU"/>
        </w:rPr>
      </w:pPr>
      <w:hyperlink r:id="rId13" w:tgtFrame="_blank" w:history="1">
        <w:r w:rsidR="00601F93" w:rsidRPr="00601F93">
          <w:rPr>
            <w:rFonts w:cs="Arial"/>
            <w:szCs w:val="24"/>
            <w:lang w:eastAsia="en-AU"/>
          </w:rPr>
          <w:t>CanDo4Kids - Townsend House</w:t>
        </w:r>
      </w:hyperlink>
      <w:r w:rsidR="00601F93" w:rsidRPr="00601F93">
        <w:rPr>
          <w:rFonts w:cs="Arial"/>
          <w:szCs w:val="24"/>
          <w:lang w:eastAsia="en-AU"/>
        </w:rPr>
        <w:t xml:space="preserve"> </w:t>
      </w:r>
    </w:p>
    <w:p w:rsidR="00601F93" w:rsidRPr="00601F93" w:rsidRDefault="00AF71A6" w:rsidP="00601F93">
      <w:pPr>
        <w:numPr>
          <w:ilvl w:val="0"/>
          <w:numId w:val="7"/>
        </w:numPr>
        <w:shd w:val="clear" w:color="auto" w:fill="FFFFFF"/>
        <w:spacing w:before="0" w:after="200" w:line="276" w:lineRule="auto"/>
        <w:ind w:left="924" w:hanging="357"/>
        <w:contextualSpacing/>
        <w:rPr>
          <w:rFonts w:cs="Arial"/>
          <w:szCs w:val="24"/>
          <w:lang w:eastAsia="en-AU"/>
        </w:rPr>
      </w:pPr>
      <w:hyperlink r:id="rId14" w:tgtFrame="_blank" w:history="1">
        <w:r w:rsidR="00601F93" w:rsidRPr="00601F93">
          <w:rPr>
            <w:rFonts w:cs="Arial"/>
            <w:szCs w:val="24"/>
            <w:lang w:eastAsia="en-AU"/>
          </w:rPr>
          <w:t>Guide Dogs NSW/ACT</w:t>
        </w:r>
      </w:hyperlink>
      <w:r w:rsidR="00601F93" w:rsidRPr="00601F93">
        <w:rPr>
          <w:rFonts w:cs="Arial"/>
          <w:szCs w:val="24"/>
          <w:lang w:eastAsia="en-AU"/>
        </w:rPr>
        <w:t xml:space="preserve"> </w:t>
      </w:r>
    </w:p>
    <w:p w:rsidR="00601F93" w:rsidRPr="00601F93" w:rsidRDefault="00AF71A6" w:rsidP="00601F93">
      <w:pPr>
        <w:numPr>
          <w:ilvl w:val="0"/>
          <w:numId w:val="7"/>
        </w:numPr>
        <w:shd w:val="clear" w:color="auto" w:fill="FFFFFF"/>
        <w:spacing w:before="0" w:after="200" w:line="276" w:lineRule="auto"/>
        <w:ind w:left="924" w:hanging="357"/>
        <w:contextualSpacing/>
        <w:rPr>
          <w:rFonts w:cs="Arial"/>
          <w:szCs w:val="24"/>
          <w:lang w:eastAsia="en-AU"/>
        </w:rPr>
      </w:pPr>
      <w:hyperlink r:id="rId15" w:tgtFrame="_blank" w:history="1">
        <w:r w:rsidR="00601F93" w:rsidRPr="00601F93">
          <w:rPr>
            <w:rFonts w:cs="Arial"/>
            <w:szCs w:val="24"/>
            <w:lang w:eastAsia="en-AU"/>
          </w:rPr>
          <w:t>Guide Dogs Queensland</w:t>
        </w:r>
      </w:hyperlink>
      <w:r w:rsidR="00601F93" w:rsidRPr="00601F93">
        <w:rPr>
          <w:rFonts w:cs="Arial"/>
          <w:szCs w:val="24"/>
          <w:lang w:eastAsia="en-AU"/>
        </w:rPr>
        <w:t xml:space="preserve"> </w:t>
      </w:r>
    </w:p>
    <w:p w:rsidR="00601F93" w:rsidRPr="00601F93" w:rsidRDefault="00601F93" w:rsidP="00601F93">
      <w:pPr>
        <w:numPr>
          <w:ilvl w:val="0"/>
          <w:numId w:val="7"/>
        </w:numPr>
        <w:shd w:val="clear" w:color="auto" w:fill="FFFFFF"/>
        <w:spacing w:before="0" w:after="200" w:line="276" w:lineRule="auto"/>
        <w:ind w:left="924" w:hanging="357"/>
        <w:contextualSpacing/>
        <w:rPr>
          <w:rFonts w:cs="Arial"/>
          <w:szCs w:val="24"/>
          <w:lang w:eastAsia="en-AU"/>
        </w:rPr>
      </w:pPr>
      <w:r w:rsidRPr="00601F93">
        <w:rPr>
          <w:rFonts w:cs="Arial"/>
          <w:szCs w:val="24"/>
          <w:lang w:eastAsia="en-AU"/>
        </w:rPr>
        <w:t xml:space="preserve">Guide Dogs Tasmania </w:t>
      </w:r>
    </w:p>
    <w:p w:rsidR="00601F93" w:rsidRPr="00601F93" w:rsidRDefault="00601F93" w:rsidP="00601F93">
      <w:pPr>
        <w:numPr>
          <w:ilvl w:val="0"/>
          <w:numId w:val="7"/>
        </w:numPr>
        <w:shd w:val="clear" w:color="auto" w:fill="FFFFFF"/>
        <w:spacing w:before="0" w:after="200" w:line="276" w:lineRule="auto"/>
        <w:ind w:left="924" w:hanging="357"/>
        <w:contextualSpacing/>
        <w:outlineLvl w:val="2"/>
        <w:rPr>
          <w:rFonts w:cs="Arial"/>
          <w:bCs/>
          <w:szCs w:val="24"/>
          <w:lang w:eastAsia="en-AU"/>
        </w:rPr>
      </w:pPr>
      <w:r w:rsidRPr="00601F93">
        <w:rPr>
          <w:rFonts w:cs="Arial"/>
          <w:bCs/>
          <w:szCs w:val="24"/>
          <w:lang w:eastAsia="en-AU"/>
        </w:rPr>
        <w:t xml:space="preserve">Humanware </w:t>
      </w:r>
    </w:p>
    <w:p w:rsidR="00601F93" w:rsidRPr="00601F93" w:rsidRDefault="00601F93" w:rsidP="00601F93">
      <w:pPr>
        <w:numPr>
          <w:ilvl w:val="0"/>
          <w:numId w:val="7"/>
        </w:numPr>
        <w:shd w:val="clear" w:color="auto" w:fill="FFFFFF"/>
        <w:spacing w:before="0" w:after="200" w:line="276" w:lineRule="auto"/>
        <w:ind w:left="924" w:hanging="357"/>
        <w:contextualSpacing/>
        <w:outlineLvl w:val="2"/>
        <w:rPr>
          <w:rFonts w:cs="Arial"/>
          <w:bCs/>
          <w:szCs w:val="24"/>
          <w:lang w:eastAsia="en-AU"/>
        </w:rPr>
      </w:pPr>
      <w:r w:rsidRPr="00601F93">
        <w:rPr>
          <w:rFonts w:cs="Arial"/>
          <w:bCs/>
          <w:szCs w:val="24"/>
          <w:lang w:eastAsia="en-AU"/>
        </w:rPr>
        <w:t xml:space="preserve">Insight Education Centre for the Blind and Vision Impaired </w:t>
      </w:r>
    </w:p>
    <w:p w:rsidR="00601F93" w:rsidRPr="00601F93" w:rsidRDefault="00601F93" w:rsidP="00601F93">
      <w:pPr>
        <w:numPr>
          <w:ilvl w:val="0"/>
          <w:numId w:val="7"/>
        </w:numPr>
        <w:shd w:val="clear" w:color="auto" w:fill="FFFFFF"/>
        <w:spacing w:before="0" w:after="200" w:line="276" w:lineRule="auto"/>
        <w:ind w:left="924" w:hanging="357"/>
        <w:contextualSpacing/>
        <w:outlineLvl w:val="2"/>
        <w:rPr>
          <w:rFonts w:cs="Arial"/>
          <w:bCs/>
          <w:szCs w:val="24"/>
          <w:lang w:eastAsia="en-AU"/>
        </w:rPr>
      </w:pPr>
      <w:r w:rsidRPr="00601F93">
        <w:rPr>
          <w:rFonts w:cs="Arial"/>
          <w:bCs/>
          <w:szCs w:val="24"/>
          <w:lang w:eastAsia="en-AU"/>
        </w:rPr>
        <w:t xml:space="preserve">Quantum RLV </w:t>
      </w:r>
    </w:p>
    <w:p w:rsidR="00601F93" w:rsidRPr="00601F93" w:rsidRDefault="00601F93" w:rsidP="00601F93">
      <w:pPr>
        <w:numPr>
          <w:ilvl w:val="0"/>
          <w:numId w:val="7"/>
        </w:numPr>
        <w:shd w:val="clear" w:color="auto" w:fill="FFFFFF"/>
        <w:spacing w:before="0" w:after="200" w:line="276" w:lineRule="auto"/>
        <w:ind w:left="924" w:hanging="357"/>
        <w:contextualSpacing/>
        <w:outlineLvl w:val="2"/>
        <w:rPr>
          <w:rFonts w:cs="Arial"/>
          <w:bCs/>
          <w:szCs w:val="24"/>
          <w:lang w:eastAsia="en-AU"/>
        </w:rPr>
      </w:pPr>
      <w:r w:rsidRPr="00601F93">
        <w:rPr>
          <w:rFonts w:cs="Arial"/>
          <w:bCs/>
          <w:szCs w:val="24"/>
          <w:lang w:eastAsia="en-AU"/>
        </w:rPr>
        <w:t xml:space="preserve">Royal Institute for Deaf and Blind Children </w:t>
      </w:r>
    </w:p>
    <w:p w:rsidR="00601F93" w:rsidRPr="00601F93" w:rsidRDefault="00AF71A6" w:rsidP="00601F93">
      <w:pPr>
        <w:numPr>
          <w:ilvl w:val="0"/>
          <w:numId w:val="7"/>
        </w:numPr>
        <w:shd w:val="clear" w:color="auto" w:fill="FFFFFF"/>
        <w:spacing w:before="0" w:after="200" w:line="276" w:lineRule="auto"/>
        <w:ind w:left="924" w:hanging="357"/>
        <w:contextualSpacing/>
        <w:rPr>
          <w:rFonts w:cs="Arial"/>
          <w:szCs w:val="24"/>
          <w:lang w:eastAsia="en-AU"/>
        </w:rPr>
      </w:pPr>
      <w:hyperlink r:id="rId16" w:tgtFrame="_blank" w:history="1">
        <w:r w:rsidR="00601F93" w:rsidRPr="00601F93">
          <w:rPr>
            <w:rFonts w:cs="Arial"/>
            <w:szCs w:val="24"/>
            <w:lang w:eastAsia="en-AU"/>
          </w:rPr>
          <w:t>Royal Society for the Blind of South Australia</w:t>
        </w:r>
      </w:hyperlink>
      <w:r w:rsidR="00601F93" w:rsidRPr="00601F93">
        <w:rPr>
          <w:rFonts w:cs="Arial"/>
          <w:szCs w:val="24"/>
          <w:lang w:eastAsia="en-AU"/>
        </w:rPr>
        <w:t xml:space="preserve"> </w:t>
      </w:r>
    </w:p>
    <w:p w:rsidR="00601F93" w:rsidRPr="00601F93" w:rsidRDefault="00601F93" w:rsidP="00601F93">
      <w:pPr>
        <w:numPr>
          <w:ilvl w:val="0"/>
          <w:numId w:val="7"/>
        </w:numPr>
        <w:shd w:val="clear" w:color="auto" w:fill="FFFFFF"/>
        <w:spacing w:before="0" w:after="200" w:line="276" w:lineRule="auto"/>
        <w:ind w:left="924" w:hanging="357"/>
        <w:contextualSpacing/>
        <w:rPr>
          <w:rFonts w:cs="Arial"/>
          <w:szCs w:val="24"/>
          <w:lang w:eastAsia="en-AU"/>
        </w:rPr>
      </w:pPr>
      <w:r w:rsidRPr="00601F93">
        <w:rPr>
          <w:rFonts w:cs="Arial"/>
          <w:szCs w:val="24"/>
          <w:lang w:eastAsia="en-AU"/>
        </w:rPr>
        <w:t xml:space="preserve">South Australian School for Vision Impairment </w:t>
      </w:r>
    </w:p>
    <w:p w:rsidR="0051687D" w:rsidRPr="00601F93" w:rsidRDefault="00601F93" w:rsidP="00601F93">
      <w:pPr>
        <w:numPr>
          <w:ilvl w:val="0"/>
          <w:numId w:val="7"/>
        </w:numPr>
        <w:autoSpaceDE w:val="0"/>
        <w:autoSpaceDN w:val="0"/>
        <w:adjustRightInd w:val="0"/>
        <w:spacing w:before="0" w:after="200" w:line="276" w:lineRule="auto"/>
        <w:ind w:left="924" w:hanging="357"/>
        <w:contextualSpacing/>
        <w:rPr>
          <w:rFonts w:eastAsiaTheme="minorHAnsi" w:cs="Arial"/>
          <w:color w:val="000000"/>
          <w:szCs w:val="24"/>
        </w:rPr>
      </w:pPr>
      <w:r>
        <w:rPr>
          <w:rFonts w:cs="Arial"/>
          <w:bCs/>
          <w:szCs w:val="24"/>
          <w:lang w:eastAsia="en-AU"/>
        </w:rPr>
        <w:t>Vision Australia.</w:t>
      </w:r>
    </w:p>
    <w:p w:rsidR="0051687D" w:rsidRPr="00C64614" w:rsidRDefault="0051687D" w:rsidP="0051687D">
      <w:pPr>
        <w:pStyle w:val="NoSpacing"/>
        <w:spacing w:after="120"/>
        <w:rPr>
          <w:rFonts w:cs="Arial"/>
          <w:b/>
          <w:sz w:val="28"/>
          <w:szCs w:val="28"/>
        </w:rPr>
      </w:pPr>
      <w:r>
        <w:rPr>
          <w:rFonts w:cs="Arial"/>
          <w:b/>
          <w:sz w:val="28"/>
          <w:szCs w:val="28"/>
        </w:rPr>
        <w:t xml:space="preserve">ABF </w:t>
      </w:r>
      <w:r w:rsidRPr="00C64614">
        <w:rPr>
          <w:rFonts w:cs="Arial"/>
          <w:b/>
          <w:sz w:val="28"/>
          <w:szCs w:val="28"/>
        </w:rPr>
        <w:t>Response</w:t>
      </w:r>
    </w:p>
    <w:p w:rsidR="003F3B22" w:rsidRDefault="0051687D" w:rsidP="003E552B">
      <w:pPr>
        <w:spacing w:before="120"/>
        <w:rPr>
          <w:rFonts w:cs="Arial"/>
          <w:szCs w:val="24"/>
        </w:rPr>
      </w:pPr>
      <w:r>
        <w:rPr>
          <w:rFonts w:cs="Arial"/>
          <w:szCs w:val="24"/>
        </w:rPr>
        <w:t xml:space="preserve">ABF </w:t>
      </w:r>
      <w:r w:rsidRPr="00637F02">
        <w:rPr>
          <w:rFonts w:cs="Arial"/>
          <w:szCs w:val="24"/>
        </w:rPr>
        <w:t xml:space="preserve">appreciates the opportunity to provide </w:t>
      </w:r>
      <w:r>
        <w:rPr>
          <w:rFonts w:cs="Arial"/>
          <w:szCs w:val="24"/>
        </w:rPr>
        <w:t>a response</w:t>
      </w:r>
      <w:r w:rsidR="006C4CE9">
        <w:rPr>
          <w:rFonts w:cs="Arial"/>
          <w:szCs w:val="24"/>
        </w:rPr>
        <w:t xml:space="preserve"> to the </w:t>
      </w:r>
      <w:r w:rsidR="00BE2F7E">
        <w:rPr>
          <w:rFonts w:cs="Arial"/>
          <w:szCs w:val="24"/>
        </w:rPr>
        <w:t xml:space="preserve">Department of Social Services </w:t>
      </w:r>
      <w:r w:rsidR="006C4CE9">
        <w:rPr>
          <w:rFonts w:cs="Arial"/>
          <w:szCs w:val="24"/>
        </w:rPr>
        <w:t>Discussion Paper</w:t>
      </w:r>
      <w:r w:rsidR="00BE2F7E">
        <w:rPr>
          <w:rFonts w:cs="Arial"/>
          <w:szCs w:val="24"/>
        </w:rPr>
        <w:t xml:space="preserve"> on Round 2 of the National Disability </w:t>
      </w:r>
      <w:r w:rsidR="00E75D12">
        <w:rPr>
          <w:rFonts w:cs="Arial"/>
          <w:szCs w:val="24"/>
        </w:rPr>
        <w:t xml:space="preserve">Employment </w:t>
      </w:r>
      <w:r w:rsidR="00BE2F7E">
        <w:rPr>
          <w:rFonts w:cs="Arial"/>
          <w:szCs w:val="24"/>
        </w:rPr>
        <w:t>Framework</w:t>
      </w:r>
      <w:r w:rsidR="006C4CE9">
        <w:rPr>
          <w:rFonts w:cs="Arial"/>
          <w:szCs w:val="24"/>
        </w:rPr>
        <w:t xml:space="preserve">. </w:t>
      </w:r>
    </w:p>
    <w:p w:rsidR="006C4CE9" w:rsidRDefault="006C4CE9" w:rsidP="00846F73">
      <w:pPr>
        <w:spacing w:before="120"/>
      </w:pPr>
      <w:r>
        <w:t xml:space="preserve">The ABF and its member organisations support every person’s right to participate in and contribute to the community. This includes all people who are blind or vision </w:t>
      </w:r>
      <w:r>
        <w:lastRenderedPageBreak/>
        <w:t>impaired having the right to obtain and retain meaningful employment and live as independently as possible.</w:t>
      </w:r>
    </w:p>
    <w:p w:rsidR="006C4CE9" w:rsidRDefault="006C4CE9" w:rsidP="006C4CE9">
      <w:pPr>
        <w:spacing w:before="120"/>
      </w:pPr>
      <w:r>
        <w:t>This is consistent with:</w:t>
      </w:r>
    </w:p>
    <w:p w:rsidR="006C4CE9" w:rsidRDefault="006C4CE9" w:rsidP="006C4CE9">
      <w:pPr>
        <w:pStyle w:val="ListParagraph"/>
        <w:numPr>
          <w:ilvl w:val="0"/>
          <w:numId w:val="4"/>
        </w:numPr>
        <w:spacing w:before="120"/>
      </w:pPr>
      <w:r>
        <w:t>the United Nations Convention on the Rights of Persons with Disabilities</w:t>
      </w:r>
    </w:p>
    <w:p w:rsidR="006C4CE9" w:rsidRDefault="006C4CE9" w:rsidP="006C4CE9">
      <w:pPr>
        <w:pStyle w:val="ListParagraph"/>
        <w:numPr>
          <w:ilvl w:val="0"/>
          <w:numId w:val="4"/>
        </w:numPr>
      </w:pPr>
      <w:r>
        <w:t>the Disability Discrimination Act 1992 which prohibits any employer from discriminating against someone on the grounds of disability.</w:t>
      </w:r>
    </w:p>
    <w:p w:rsidR="003E552B" w:rsidRDefault="00A57D0C" w:rsidP="00A57D0C">
      <w:pPr>
        <w:rPr>
          <w:rFonts w:cs="Arial"/>
          <w:szCs w:val="24"/>
        </w:rPr>
      </w:pPr>
      <w:r w:rsidRPr="00A57D0C">
        <w:rPr>
          <w:rFonts w:cs="Arial"/>
          <w:szCs w:val="24"/>
        </w:rPr>
        <w:t>Almost 575,000 Australians over 40 had vision loss in 2009, representing 5.8% of the population in that age group. Of these people around 66,500 were blind, with the largest proportion aged over 70 (nearly 70%). It is projected that the number of people with vision loss aged 40 or over will rise to almost 801,000 by 2020, and those who are blind will rise to 102,750.</w:t>
      </w:r>
      <w:r w:rsidRPr="00A57D0C">
        <w:rPr>
          <w:rFonts w:cs="Arial"/>
          <w:szCs w:val="24"/>
          <w:vertAlign w:val="superscript"/>
        </w:rPr>
        <w:footnoteReference w:id="1"/>
      </w:r>
    </w:p>
    <w:p w:rsidR="001D01C7" w:rsidRDefault="00F44159" w:rsidP="00601F93">
      <w:pPr>
        <w:spacing w:before="120"/>
        <w:rPr>
          <w:rFonts w:cs="Arial"/>
          <w:szCs w:val="24"/>
        </w:rPr>
      </w:pPr>
      <w:r w:rsidRPr="00F44159">
        <w:rPr>
          <w:rFonts w:cs="Arial"/>
          <w:color w:val="000000"/>
          <w:szCs w:val="24"/>
        </w:rPr>
        <w:t xml:space="preserve">Research </w:t>
      </w:r>
      <w:r>
        <w:rPr>
          <w:rFonts w:cs="Arial"/>
          <w:color w:val="000000"/>
          <w:szCs w:val="24"/>
        </w:rPr>
        <w:t xml:space="preserve">undertaken by Vision Australia </w:t>
      </w:r>
      <w:r w:rsidRPr="00F44159">
        <w:rPr>
          <w:rFonts w:cs="Arial"/>
          <w:color w:val="000000"/>
          <w:szCs w:val="24"/>
        </w:rPr>
        <w:t xml:space="preserve">in 2012 indicated that 58% of people who are blind or vision impaired of workforce age are unemployed compared </w:t>
      </w:r>
      <w:r w:rsidR="003A3325">
        <w:rPr>
          <w:rFonts w:cs="Arial"/>
          <w:color w:val="000000"/>
          <w:szCs w:val="24"/>
        </w:rPr>
        <w:t>with</w:t>
      </w:r>
      <w:r w:rsidRPr="00F44159">
        <w:rPr>
          <w:rFonts w:cs="Arial"/>
          <w:color w:val="000000"/>
          <w:szCs w:val="24"/>
        </w:rPr>
        <w:t xml:space="preserve"> 14% of the wider population (ABS ‘Persons not in the labour force, Sept 2011).</w:t>
      </w:r>
      <w:r>
        <w:rPr>
          <w:rStyle w:val="FootnoteReference"/>
          <w:rFonts w:cs="Arial"/>
          <w:color w:val="000000"/>
          <w:szCs w:val="24"/>
        </w:rPr>
        <w:footnoteReference w:id="2"/>
      </w:r>
    </w:p>
    <w:p w:rsidR="00914158" w:rsidRPr="00914158" w:rsidRDefault="00860621" w:rsidP="003A3325">
      <w:pPr>
        <w:spacing w:before="120"/>
        <w:rPr>
          <w:rFonts w:ascii="Calibri" w:hAnsi="Calibri"/>
          <w:sz w:val="22"/>
        </w:rPr>
      </w:pPr>
      <w:r w:rsidRPr="00914158">
        <w:rPr>
          <w:rFonts w:cs="Arial"/>
          <w:szCs w:val="24"/>
        </w:rPr>
        <w:t xml:space="preserve">The Department of Social Services </w:t>
      </w:r>
      <w:r w:rsidR="009228C7">
        <w:rPr>
          <w:rFonts w:cs="Arial"/>
          <w:szCs w:val="24"/>
        </w:rPr>
        <w:t xml:space="preserve">(DSS) </w:t>
      </w:r>
      <w:r w:rsidRPr="00914158">
        <w:rPr>
          <w:rFonts w:cs="Arial"/>
          <w:szCs w:val="24"/>
        </w:rPr>
        <w:t xml:space="preserve">provided data to ABF in October </w:t>
      </w:r>
      <w:r w:rsidR="009228C7">
        <w:rPr>
          <w:rFonts w:cs="Arial"/>
          <w:szCs w:val="24"/>
        </w:rPr>
        <w:t>this year advising that,</w:t>
      </w:r>
      <w:r w:rsidR="00914158" w:rsidRPr="00914158">
        <w:rPr>
          <w:rFonts w:cs="Arial"/>
          <w:szCs w:val="24"/>
        </w:rPr>
        <w:t xml:space="preserve"> a</w:t>
      </w:r>
      <w:r w:rsidR="00914158" w:rsidRPr="00914158">
        <w:t xml:space="preserve">s at 31 August </w:t>
      </w:r>
      <w:r w:rsidR="009228C7">
        <w:t>2015</w:t>
      </w:r>
      <w:r w:rsidR="00914158" w:rsidRPr="00914158">
        <w:t>, there were 2088 people participating in D</w:t>
      </w:r>
      <w:r w:rsidR="00914158">
        <w:t xml:space="preserve">isability </w:t>
      </w:r>
      <w:r w:rsidR="00914158" w:rsidRPr="00914158">
        <w:t>E</w:t>
      </w:r>
      <w:r w:rsidR="00914158">
        <w:t xml:space="preserve">mployment </w:t>
      </w:r>
      <w:r w:rsidR="00914158" w:rsidRPr="00914158">
        <w:t>S</w:t>
      </w:r>
      <w:r w:rsidR="00914158">
        <w:t>ervices (DES)</w:t>
      </w:r>
      <w:r w:rsidR="00914158" w:rsidRPr="00914158">
        <w:t xml:space="preserve"> whose primary disability is identified as vision related. Total caseload for the programme as a whole on 31 August </w:t>
      </w:r>
      <w:r w:rsidR="009228C7">
        <w:t xml:space="preserve">2015 </w:t>
      </w:r>
      <w:r w:rsidR="00914158" w:rsidRPr="00914158">
        <w:t>was</w:t>
      </w:r>
      <w:r w:rsidR="009228C7">
        <w:t xml:space="preserve"> 173,461.</w:t>
      </w:r>
      <w:r w:rsidR="00914158" w:rsidRPr="00914158">
        <w:t xml:space="preserve"> Accordingly about 1.2 per cent of the caseload is people whose primary disability is vision related</w:t>
      </w:r>
      <w:r w:rsidR="003E552B">
        <w:rPr>
          <w:rStyle w:val="FootnoteReference"/>
        </w:rPr>
        <w:footnoteReference w:id="3"/>
      </w:r>
      <w:r w:rsidR="00914158" w:rsidRPr="00914158">
        <w:t>.</w:t>
      </w:r>
    </w:p>
    <w:p w:rsidR="00860621" w:rsidRDefault="009228C7" w:rsidP="00914158">
      <w:pPr>
        <w:spacing w:before="120"/>
      </w:pPr>
      <w:r>
        <w:t>DSS also said the data indicated that, o</w:t>
      </w:r>
      <w:r w:rsidR="00914158">
        <w:t>verall</w:t>
      </w:r>
      <w:r w:rsidR="00860621" w:rsidRPr="00860621">
        <w:t>, and without adjustment for people’s age and other characteristics, people whose primary disability is vision related do worse than the ov</w:t>
      </w:r>
      <w:r w:rsidR="00860621">
        <w:t xml:space="preserve">erall outcome for people in DES. </w:t>
      </w:r>
      <w:r>
        <w:t>The data indicated that</w:t>
      </w:r>
      <w:r w:rsidR="00860621">
        <w:t xml:space="preserve">: </w:t>
      </w:r>
    </w:p>
    <w:p w:rsidR="00860621" w:rsidRPr="00860621" w:rsidRDefault="00860621" w:rsidP="00860621">
      <w:pPr>
        <w:pStyle w:val="ListParagraph"/>
        <w:numPr>
          <w:ilvl w:val="0"/>
          <w:numId w:val="5"/>
        </w:numPr>
        <w:spacing w:before="120"/>
        <w:ind w:left="778"/>
        <w:contextualSpacing w:val="0"/>
        <w:rPr>
          <w:rFonts w:cs="Arial"/>
          <w:szCs w:val="24"/>
        </w:rPr>
      </w:pPr>
      <w:r w:rsidRPr="00860621">
        <w:t xml:space="preserve">22.7 per cent of people with primarily vison related disability are employed 3 months after their participation compared to 31.1 </w:t>
      </w:r>
      <w:r>
        <w:t>per cent for all participants</w:t>
      </w:r>
    </w:p>
    <w:p w:rsidR="00D07CA3" w:rsidRPr="00E927BB" w:rsidRDefault="00860621" w:rsidP="00E927BB">
      <w:pPr>
        <w:pStyle w:val="ListParagraph"/>
        <w:numPr>
          <w:ilvl w:val="0"/>
          <w:numId w:val="5"/>
        </w:numPr>
        <w:spacing w:before="120"/>
        <w:ind w:left="778"/>
        <w:contextualSpacing w:val="0"/>
        <w:rPr>
          <w:rFonts w:cs="Arial"/>
          <w:szCs w:val="24"/>
        </w:rPr>
      </w:pPr>
      <w:r w:rsidRPr="00860621">
        <w:t>49.5 per cent are unemployed compared to 39.3</w:t>
      </w:r>
      <w:r>
        <w:t xml:space="preserve"> per cent for all participants</w:t>
      </w:r>
      <w:r w:rsidR="003E552B">
        <w:t>.</w:t>
      </w:r>
      <w:r w:rsidR="00EB551A" w:rsidRPr="00E927BB">
        <w:rPr>
          <w:rStyle w:val="FootnoteReference"/>
          <w:rFonts w:cs="Arial"/>
          <w:szCs w:val="24"/>
        </w:rPr>
        <w:t xml:space="preserve"> </w:t>
      </w:r>
    </w:p>
    <w:p w:rsidR="001F3C37" w:rsidRDefault="001F3C37" w:rsidP="00860621">
      <w:pPr>
        <w:pStyle w:val="ListParagraph"/>
        <w:spacing w:before="120"/>
        <w:ind w:left="0"/>
        <w:contextualSpacing w:val="0"/>
      </w:pPr>
      <w:r w:rsidRPr="001F3C37">
        <w:rPr>
          <w:rFonts w:cs="Arial"/>
          <w:szCs w:val="24"/>
        </w:rPr>
        <w:t xml:space="preserve">The DSS data also indicated that, </w:t>
      </w:r>
      <w:r w:rsidRPr="001F3C37">
        <w:t>of the 2088 people participating in DES, 64 per cent (1331) were men, and 36 per cent (757) were women</w:t>
      </w:r>
      <w:r w:rsidR="00B4189A">
        <w:t>.</w:t>
      </w:r>
      <w:r w:rsidR="00E75D12">
        <w:rPr>
          <w:rStyle w:val="FootnoteReference"/>
          <w:rFonts w:cs="Arial"/>
          <w:szCs w:val="24"/>
        </w:rPr>
        <w:footnoteReference w:id="4"/>
      </w:r>
    </w:p>
    <w:p w:rsidR="00E927BB" w:rsidRDefault="001F3C37" w:rsidP="00E927BB">
      <w:pPr>
        <w:spacing w:before="120" w:after="120"/>
      </w:pPr>
      <w:r>
        <w:t xml:space="preserve">Given Australia is an ageing population with the retirement age rising, it is also interesting to note that </w:t>
      </w:r>
      <w:r w:rsidR="00E927BB">
        <w:t>the DSS data indicated that over 50% of DES participants that identify as having a vision-related disability are in the 45-64 year old age group. This shows that older Australians with blindness or vision impairment are active in the workforce and want to be able to continue to be employed.</w:t>
      </w:r>
      <w:r w:rsidR="00E927BB" w:rsidRPr="00864717">
        <w:rPr>
          <w:rStyle w:val="FootnoteReference"/>
          <w:rFonts w:cs="Arial"/>
          <w:szCs w:val="24"/>
        </w:rPr>
        <w:t xml:space="preserve"> </w:t>
      </w:r>
      <w:r w:rsidR="00E927BB">
        <w:rPr>
          <w:rStyle w:val="FootnoteReference"/>
          <w:rFonts w:cs="Arial"/>
          <w:szCs w:val="24"/>
        </w:rPr>
        <w:footnoteReference w:id="5"/>
      </w:r>
    </w:p>
    <w:p w:rsidR="00601F93" w:rsidRDefault="00601F93" w:rsidP="0051687D">
      <w:pPr>
        <w:rPr>
          <w:rFonts w:cs="Arial"/>
          <w:b/>
          <w:sz w:val="28"/>
          <w:szCs w:val="28"/>
        </w:rPr>
      </w:pPr>
    </w:p>
    <w:p w:rsidR="00601F93" w:rsidRDefault="00601F93" w:rsidP="0051687D">
      <w:pPr>
        <w:rPr>
          <w:rFonts w:cs="Arial"/>
          <w:b/>
          <w:sz w:val="28"/>
          <w:szCs w:val="28"/>
        </w:rPr>
      </w:pPr>
    </w:p>
    <w:p w:rsidR="00757664" w:rsidRPr="00D07CA3" w:rsidRDefault="00D07CA3" w:rsidP="0051687D">
      <w:pPr>
        <w:rPr>
          <w:rFonts w:cs="Arial"/>
          <w:b/>
          <w:sz w:val="28"/>
          <w:szCs w:val="28"/>
        </w:rPr>
      </w:pPr>
      <w:r w:rsidRPr="00D07CA3">
        <w:rPr>
          <w:rFonts w:cs="Arial"/>
          <w:b/>
          <w:sz w:val="28"/>
          <w:szCs w:val="28"/>
        </w:rPr>
        <w:lastRenderedPageBreak/>
        <w:t>Individualised funding and market-based service delivery</w:t>
      </w:r>
    </w:p>
    <w:p w:rsidR="00757664" w:rsidRPr="00757664" w:rsidRDefault="00757664" w:rsidP="003E552B">
      <w:pPr>
        <w:spacing w:before="120"/>
        <w:rPr>
          <w:rFonts w:cs="Arial"/>
          <w:b/>
          <w:szCs w:val="24"/>
        </w:rPr>
      </w:pPr>
      <w:r w:rsidRPr="00757664">
        <w:rPr>
          <w:rFonts w:cs="Arial"/>
          <w:b/>
          <w:szCs w:val="24"/>
        </w:rPr>
        <w:t>Gateway into the service</w:t>
      </w:r>
    </w:p>
    <w:p w:rsidR="002326BF" w:rsidRDefault="009228C7" w:rsidP="00C15DA3">
      <w:pPr>
        <w:spacing w:before="120"/>
        <w:rPr>
          <w:rFonts w:cs="Arial"/>
          <w:szCs w:val="24"/>
        </w:rPr>
      </w:pPr>
      <w:r>
        <w:rPr>
          <w:rFonts w:cs="Arial"/>
          <w:szCs w:val="24"/>
        </w:rPr>
        <w:t xml:space="preserve">Given the data outlined above that indicates that only </w:t>
      </w:r>
      <w:r w:rsidR="001F3C37">
        <w:rPr>
          <w:rFonts w:cs="Arial"/>
          <w:szCs w:val="24"/>
        </w:rPr>
        <w:t>1.2% of the DES caseload (</w:t>
      </w:r>
      <w:r>
        <w:rPr>
          <w:rFonts w:cs="Arial"/>
          <w:szCs w:val="24"/>
        </w:rPr>
        <w:t>2088</w:t>
      </w:r>
      <w:r w:rsidR="001F3C37">
        <w:rPr>
          <w:rFonts w:cs="Arial"/>
          <w:szCs w:val="24"/>
        </w:rPr>
        <w:t>) are</w:t>
      </w:r>
      <w:r>
        <w:rPr>
          <w:rFonts w:cs="Arial"/>
          <w:szCs w:val="24"/>
        </w:rPr>
        <w:t xml:space="preserve"> people who are blind or vis</w:t>
      </w:r>
      <w:r w:rsidR="001F3C37">
        <w:rPr>
          <w:rFonts w:cs="Arial"/>
          <w:szCs w:val="24"/>
        </w:rPr>
        <w:t>ion impaired,</w:t>
      </w:r>
      <w:r>
        <w:rPr>
          <w:rFonts w:cs="Arial"/>
          <w:szCs w:val="24"/>
        </w:rPr>
        <w:t xml:space="preserve"> </w:t>
      </w:r>
      <w:r w:rsidR="00C429BB">
        <w:rPr>
          <w:rFonts w:cs="Arial"/>
          <w:szCs w:val="24"/>
        </w:rPr>
        <w:t xml:space="preserve">ABF supports </w:t>
      </w:r>
      <w:r w:rsidR="00A35966">
        <w:rPr>
          <w:rFonts w:cs="Arial"/>
          <w:szCs w:val="24"/>
        </w:rPr>
        <w:t xml:space="preserve">in principle </w:t>
      </w:r>
      <w:r w:rsidR="00A35966" w:rsidRPr="00E7096E">
        <w:rPr>
          <w:rFonts w:cs="Arial"/>
          <w:b/>
          <w:szCs w:val="24"/>
        </w:rPr>
        <w:t>broadening eligibility</w:t>
      </w:r>
      <w:r>
        <w:rPr>
          <w:rFonts w:cs="Arial"/>
          <w:szCs w:val="24"/>
        </w:rPr>
        <w:t xml:space="preserve"> for services. </w:t>
      </w:r>
      <w:r w:rsidR="001F3C37">
        <w:rPr>
          <w:rFonts w:cs="Arial"/>
          <w:szCs w:val="24"/>
        </w:rPr>
        <w:t>In addition, ABF is concerned on</w:t>
      </w:r>
      <w:r w:rsidR="00E75D12">
        <w:rPr>
          <w:rFonts w:cs="Arial"/>
          <w:szCs w:val="24"/>
        </w:rPr>
        <w:t>ly</w:t>
      </w:r>
      <w:r w:rsidR="001F3C37">
        <w:rPr>
          <w:rFonts w:cs="Arial"/>
          <w:szCs w:val="24"/>
        </w:rPr>
        <w:t xml:space="preserve"> 36% of these 2088 people are women and so further participation of women with blindness or vision impairment in employment needs to be encouraged.</w:t>
      </w:r>
    </w:p>
    <w:p w:rsidR="002326BF" w:rsidRPr="002326BF" w:rsidRDefault="002326BF" w:rsidP="00C77126">
      <w:pPr>
        <w:spacing w:before="120"/>
      </w:pPr>
      <w:r>
        <w:rPr>
          <w:rFonts w:cs="Arial"/>
          <w:szCs w:val="24"/>
        </w:rPr>
        <w:t xml:space="preserve">ABF supports the broadening of </w:t>
      </w:r>
      <w:r w:rsidR="009228C7">
        <w:rPr>
          <w:rFonts w:cs="Arial"/>
          <w:szCs w:val="24"/>
        </w:rPr>
        <w:t xml:space="preserve">eligibility </w:t>
      </w:r>
      <w:r w:rsidR="00A35966">
        <w:rPr>
          <w:rFonts w:cs="Arial"/>
          <w:szCs w:val="24"/>
        </w:rPr>
        <w:t xml:space="preserve">in relation to improving the </w:t>
      </w:r>
      <w:r w:rsidR="00A35966" w:rsidRPr="001C54FC">
        <w:rPr>
          <w:rFonts w:cs="Arial"/>
          <w:b/>
          <w:szCs w:val="24"/>
        </w:rPr>
        <w:t>transition of young people from school to work</w:t>
      </w:r>
      <w:r>
        <w:rPr>
          <w:rFonts w:cs="Arial"/>
          <w:szCs w:val="24"/>
        </w:rPr>
        <w:t xml:space="preserve">. </w:t>
      </w:r>
      <w:r w:rsidR="0037610F">
        <w:rPr>
          <w:rFonts w:cs="Arial"/>
          <w:szCs w:val="24"/>
        </w:rPr>
        <w:t>The DSS data indicates that only 5.5% of the participants in the DES that have vision impairment are under the age of 21. Therefore, it is clear that e</w:t>
      </w:r>
      <w:r>
        <w:rPr>
          <w:rFonts w:cs="Arial"/>
          <w:szCs w:val="24"/>
        </w:rPr>
        <w:t>mployment services</w:t>
      </w:r>
      <w:r>
        <w:t xml:space="preserve"> need to have a strong connection with the education system in order to facilitate a better transition for people with disability from school to work or university to work. Career planning needs to start when students are in years 10 or 11 and needs to include appropriate work experience like any other student in the education system. Similarly, </w:t>
      </w:r>
      <w:r w:rsidR="003A3325">
        <w:t xml:space="preserve">comprehensive </w:t>
      </w:r>
      <w:r>
        <w:t>career pl</w:t>
      </w:r>
      <w:r w:rsidR="003A3325">
        <w:t>anning assistance also needs to be provided to</w:t>
      </w:r>
      <w:r>
        <w:t xml:space="preserve"> students throughout their university degrees.</w:t>
      </w:r>
    </w:p>
    <w:p w:rsidR="00E0254C" w:rsidRDefault="002326BF" w:rsidP="00601F93">
      <w:pPr>
        <w:spacing w:before="120"/>
        <w:rPr>
          <w:rFonts w:cs="Arial"/>
          <w:szCs w:val="24"/>
        </w:rPr>
      </w:pPr>
      <w:r>
        <w:rPr>
          <w:rFonts w:cs="Arial"/>
          <w:szCs w:val="24"/>
        </w:rPr>
        <w:t>ABF supports broadening eligibility to allow access to and encourage</w:t>
      </w:r>
      <w:r w:rsidR="00A35966">
        <w:rPr>
          <w:rFonts w:cs="Arial"/>
          <w:szCs w:val="24"/>
        </w:rPr>
        <w:t xml:space="preserve"> participation from some people who may have become frustrated </w:t>
      </w:r>
      <w:r>
        <w:rPr>
          <w:rFonts w:cs="Arial"/>
          <w:szCs w:val="24"/>
        </w:rPr>
        <w:t xml:space="preserve">or disillusioned </w:t>
      </w:r>
      <w:r w:rsidR="00A35966">
        <w:rPr>
          <w:rFonts w:cs="Arial"/>
          <w:szCs w:val="24"/>
        </w:rPr>
        <w:t xml:space="preserve">with the current system and so who are </w:t>
      </w:r>
      <w:r w:rsidR="00A35966" w:rsidRPr="001C54FC">
        <w:rPr>
          <w:rFonts w:cs="Arial"/>
          <w:b/>
          <w:szCs w:val="24"/>
        </w:rPr>
        <w:t>not currently participating in the labour force</w:t>
      </w:r>
      <w:r w:rsidR="00A35966">
        <w:rPr>
          <w:rFonts w:cs="Arial"/>
          <w:szCs w:val="24"/>
        </w:rPr>
        <w:t>.</w:t>
      </w:r>
      <w:r w:rsidR="00E0254C">
        <w:rPr>
          <w:rFonts w:cs="Arial"/>
          <w:szCs w:val="24"/>
        </w:rPr>
        <w:t xml:space="preserve"> </w:t>
      </w:r>
      <w:r>
        <w:rPr>
          <w:rFonts w:cs="Arial"/>
          <w:szCs w:val="24"/>
        </w:rPr>
        <w:t xml:space="preserve">The focus in these cases is not just on obtaining a job, it also needs to </w:t>
      </w:r>
      <w:r w:rsidR="00C77126">
        <w:rPr>
          <w:rFonts w:cs="Arial"/>
          <w:szCs w:val="24"/>
        </w:rPr>
        <w:t>focus on providing</w:t>
      </w:r>
      <w:r w:rsidR="003A3325">
        <w:rPr>
          <w:rFonts w:cs="Arial"/>
          <w:szCs w:val="24"/>
        </w:rPr>
        <w:t xml:space="preserve"> education</w:t>
      </w:r>
      <w:r>
        <w:rPr>
          <w:rFonts w:cs="Arial"/>
          <w:szCs w:val="24"/>
        </w:rPr>
        <w:t xml:space="preserve"> an</w:t>
      </w:r>
      <w:r w:rsidR="003A3325">
        <w:rPr>
          <w:rFonts w:cs="Arial"/>
          <w:szCs w:val="24"/>
        </w:rPr>
        <w:t>d</w:t>
      </w:r>
      <w:r>
        <w:rPr>
          <w:rFonts w:cs="Arial"/>
          <w:szCs w:val="24"/>
        </w:rPr>
        <w:t xml:space="preserve"> awareness of the other benefits of being empl</w:t>
      </w:r>
      <w:r w:rsidR="003A3325">
        <w:rPr>
          <w:rFonts w:cs="Arial"/>
          <w:szCs w:val="24"/>
        </w:rPr>
        <w:t xml:space="preserve">oyed such as social interaction, a sense of purpose, dignity </w:t>
      </w:r>
      <w:r>
        <w:rPr>
          <w:rFonts w:cs="Arial"/>
          <w:szCs w:val="24"/>
        </w:rPr>
        <w:t xml:space="preserve">and </w:t>
      </w:r>
      <w:r w:rsidR="003A3325">
        <w:rPr>
          <w:rFonts w:cs="Arial"/>
          <w:szCs w:val="24"/>
        </w:rPr>
        <w:t xml:space="preserve">better </w:t>
      </w:r>
      <w:r>
        <w:rPr>
          <w:rFonts w:cs="Arial"/>
          <w:szCs w:val="24"/>
        </w:rPr>
        <w:t>wellbeing.</w:t>
      </w:r>
    </w:p>
    <w:p w:rsidR="00E7096E" w:rsidRDefault="00E0254C" w:rsidP="00C77126">
      <w:pPr>
        <w:spacing w:before="120"/>
        <w:rPr>
          <w:rFonts w:cs="Arial"/>
          <w:szCs w:val="24"/>
        </w:rPr>
      </w:pPr>
      <w:r>
        <w:rPr>
          <w:rFonts w:cs="Arial"/>
          <w:szCs w:val="24"/>
        </w:rPr>
        <w:t xml:space="preserve">ABF supports broadening eligibility to allow access to employment services for </w:t>
      </w:r>
      <w:r w:rsidRPr="001C54FC">
        <w:rPr>
          <w:rFonts w:cs="Arial"/>
          <w:b/>
          <w:szCs w:val="24"/>
        </w:rPr>
        <w:t>people with disability already working who acquire disability</w:t>
      </w:r>
      <w:r w:rsidR="007516D3">
        <w:rPr>
          <w:rFonts w:cs="Arial"/>
          <w:szCs w:val="24"/>
        </w:rPr>
        <w:t xml:space="preserve">. </w:t>
      </w:r>
      <w:r w:rsidR="00C77126">
        <w:rPr>
          <w:rFonts w:cs="Arial"/>
          <w:szCs w:val="24"/>
        </w:rPr>
        <w:t>A diagnosis</w:t>
      </w:r>
      <w:r w:rsidR="007516D3">
        <w:rPr>
          <w:rFonts w:cs="Arial"/>
          <w:szCs w:val="24"/>
        </w:rPr>
        <w:t xml:space="preserve"> of vision loss </w:t>
      </w:r>
      <w:r>
        <w:rPr>
          <w:rFonts w:cs="Arial"/>
          <w:szCs w:val="24"/>
        </w:rPr>
        <w:t>while someone is already in employment can be a difficult time. These individuals need ongoing support to keep them in their jobs and to continue to develop their careers.</w:t>
      </w:r>
      <w:r w:rsidR="00972D47">
        <w:rPr>
          <w:rFonts w:cs="Arial"/>
          <w:szCs w:val="24"/>
        </w:rPr>
        <w:t xml:space="preserve"> </w:t>
      </w:r>
      <w:r w:rsidR="00C77126">
        <w:rPr>
          <w:rFonts w:cs="Arial"/>
          <w:szCs w:val="24"/>
        </w:rPr>
        <w:t xml:space="preserve">ABF and its members have </w:t>
      </w:r>
      <w:r w:rsidR="00972D47">
        <w:rPr>
          <w:rFonts w:cs="Arial"/>
          <w:szCs w:val="24"/>
        </w:rPr>
        <w:t>guide</w:t>
      </w:r>
      <w:r w:rsidR="00C77126">
        <w:rPr>
          <w:rFonts w:cs="Arial"/>
          <w:szCs w:val="24"/>
        </w:rPr>
        <w:t>s</w:t>
      </w:r>
      <w:r w:rsidR="00972D47">
        <w:rPr>
          <w:rFonts w:cs="Arial"/>
          <w:szCs w:val="24"/>
        </w:rPr>
        <w:t xml:space="preserve"> for employers </w:t>
      </w:r>
      <w:r w:rsidR="00135F37">
        <w:rPr>
          <w:rFonts w:cs="Arial"/>
          <w:szCs w:val="24"/>
        </w:rPr>
        <w:t xml:space="preserve">when employing people with blindness or vision impairment </w:t>
      </w:r>
      <w:r w:rsidR="00C77126">
        <w:rPr>
          <w:rFonts w:cs="Arial"/>
          <w:szCs w:val="24"/>
        </w:rPr>
        <w:t>which</w:t>
      </w:r>
      <w:r w:rsidR="00135F37">
        <w:rPr>
          <w:rFonts w:cs="Arial"/>
          <w:szCs w:val="24"/>
        </w:rPr>
        <w:t xml:space="preserve"> suggest employers need to be flexible and supportive, employers should modify a role in order to retain a good worker and that empathy is important because a loss of sight does not necessarily mean someone has lost their ability t</w:t>
      </w:r>
      <w:r w:rsidR="001C54FC">
        <w:rPr>
          <w:rFonts w:cs="Arial"/>
          <w:szCs w:val="24"/>
        </w:rPr>
        <w:t>o do their job</w:t>
      </w:r>
      <w:r w:rsidR="001C54FC">
        <w:rPr>
          <w:rStyle w:val="FootnoteReference"/>
          <w:rFonts w:cs="Arial"/>
          <w:szCs w:val="24"/>
        </w:rPr>
        <w:footnoteReference w:id="6"/>
      </w:r>
    </w:p>
    <w:p w:rsidR="00700978" w:rsidRDefault="00E7096E" w:rsidP="00C77126">
      <w:pPr>
        <w:spacing w:before="120"/>
        <w:rPr>
          <w:rFonts w:cs="Arial"/>
          <w:szCs w:val="24"/>
        </w:rPr>
      </w:pPr>
      <w:r>
        <w:rPr>
          <w:rFonts w:cs="Arial"/>
          <w:szCs w:val="24"/>
        </w:rPr>
        <w:t xml:space="preserve">ABF supports different and flexible </w:t>
      </w:r>
      <w:r w:rsidRPr="007D7642">
        <w:rPr>
          <w:rFonts w:cs="Arial"/>
          <w:b/>
          <w:szCs w:val="24"/>
        </w:rPr>
        <w:t>r</w:t>
      </w:r>
      <w:r w:rsidR="00700978" w:rsidRPr="007D7642">
        <w:rPr>
          <w:rFonts w:cs="Arial"/>
          <w:b/>
          <w:szCs w:val="24"/>
        </w:rPr>
        <w:t>eferral pathways</w:t>
      </w:r>
      <w:r>
        <w:rPr>
          <w:rFonts w:cs="Arial"/>
          <w:szCs w:val="24"/>
        </w:rPr>
        <w:t xml:space="preserve"> into the system. In particular, ABF would like to ensure the referral process includes a ‘trigger’ that automatically refers a person who identifies as having blindness or vision impairment</w:t>
      </w:r>
      <w:r w:rsidR="00ED4575">
        <w:rPr>
          <w:rFonts w:cs="Arial"/>
          <w:szCs w:val="24"/>
        </w:rPr>
        <w:t xml:space="preserve"> to a specialist Disability Employment Service within the blindness sector.</w:t>
      </w:r>
      <w:r w:rsidR="007E7343">
        <w:rPr>
          <w:rFonts w:cs="Arial"/>
          <w:szCs w:val="24"/>
        </w:rPr>
        <w:t xml:space="preserve"> Accredited DES providers, such as those in the blindness sector, should also be able to take direct referrals (</w:t>
      </w:r>
      <w:r w:rsidR="00C77126">
        <w:rPr>
          <w:rFonts w:cs="Arial"/>
          <w:szCs w:val="24"/>
        </w:rPr>
        <w:t xml:space="preserve">for clients who </w:t>
      </w:r>
      <w:r w:rsidR="007E7343">
        <w:rPr>
          <w:rFonts w:cs="Arial"/>
          <w:szCs w:val="24"/>
        </w:rPr>
        <w:t xml:space="preserve">may already use their services), rather than clients having to go through </w:t>
      </w:r>
      <w:r w:rsidR="00E0254C">
        <w:rPr>
          <w:rFonts w:cs="Arial"/>
          <w:szCs w:val="24"/>
        </w:rPr>
        <w:t>more formal referral pathways.</w:t>
      </w:r>
    </w:p>
    <w:p w:rsidR="0021547C" w:rsidRDefault="0021547C" w:rsidP="00C77126">
      <w:pPr>
        <w:spacing w:before="120"/>
        <w:rPr>
          <w:rFonts w:cs="Arial"/>
          <w:szCs w:val="24"/>
        </w:rPr>
      </w:pPr>
      <w:r>
        <w:rPr>
          <w:rFonts w:cs="Arial"/>
          <w:color w:val="000000"/>
          <w:szCs w:val="24"/>
        </w:rPr>
        <w:t xml:space="preserve">A DES with </w:t>
      </w:r>
      <w:r w:rsidRPr="0021547C">
        <w:rPr>
          <w:rFonts w:cs="Arial"/>
          <w:color w:val="000000"/>
          <w:szCs w:val="24"/>
        </w:rPr>
        <w:t>specialist technical understanding of the needs and capabilities of people who a</w:t>
      </w:r>
      <w:r>
        <w:rPr>
          <w:rFonts w:cs="Arial"/>
          <w:color w:val="000000"/>
          <w:szCs w:val="24"/>
        </w:rPr>
        <w:t xml:space="preserve">re blind or vision impaired would be able to identify </w:t>
      </w:r>
      <w:r w:rsidRPr="0021547C">
        <w:rPr>
          <w:rFonts w:cs="Arial"/>
          <w:color w:val="000000"/>
          <w:szCs w:val="24"/>
        </w:rPr>
        <w:t xml:space="preserve">when and how assistive technology can be used (including capacity to deliver or support training in </w:t>
      </w:r>
      <w:r w:rsidRPr="0021547C">
        <w:rPr>
          <w:rFonts w:cs="Arial"/>
          <w:color w:val="000000"/>
          <w:szCs w:val="24"/>
        </w:rPr>
        <w:lastRenderedPageBreak/>
        <w:t>this technology) and knowledge of relevant assessments, referrals, strategies, government subsidies and blindness specific resources which are available.</w:t>
      </w:r>
    </w:p>
    <w:p w:rsidR="00A35966" w:rsidRDefault="00700978" w:rsidP="00C77126">
      <w:pPr>
        <w:spacing w:before="120"/>
        <w:rPr>
          <w:rFonts w:cs="Arial"/>
          <w:szCs w:val="24"/>
        </w:rPr>
      </w:pPr>
      <w:r w:rsidRPr="00700978">
        <w:rPr>
          <w:rFonts w:cs="Arial"/>
          <w:szCs w:val="24"/>
        </w:rPr>
        <w:t xml:space="preserve">ABF </w:t>
      </w:r>
      <w:r w:rsidR="000D138C">
        <w:rPr>
          <w:rFonts w:cs="Arial"/>
          <w:szCs w:val="24"/>
        </w:rPr>
        <w:t>would not</w:t>
      </w:r>
      <w:r w:rsidRPr="00700978">
        <w:rPr>
          <w:rFonts w:cs="Arial"/>
          <w:szCs w:val="24"/>
        </w:rPr>
        <w:t xml:space="preserve"> support a </w:t>
      </w:r>
      <w:r w:rsidRPr="00700978">
        <w:rPr>
          <w:rFonts w:cs="Arial"/>
          <w:b/>
          <w:szCs w:val="24"/>
        </w:rPr>
        <w:t>single gateway and assessment process</w:t>
      </w:r>
      <w:r w:rsidRPr="00700978">
        <w:rPr>
          <w:rFonts w:cs="Arial"/>
          <w:szCs w:val="24"/>
        </w:rPr>
        <w:t xml:space="preserve"> across disability support systems </w:t>
      </w:r>
      <w:r w:rsidR="000D138C">
        <w:rPr>
          <w:rFonts w:cs="Arial"/>
          <w:szCs w:val="24"/>
        </w:rPr>
        <w:t xml:space="preserve">if it was not flexible and if specialist service providers were prohibited from making direct referrals. </w:t>
      </w:r>
      <w:r w:rsidR="00830D07">
        <w:rPr>
          <w:rFonts w:cs="Arial"/>
          <w:szCs w:val="24"/>
        </w:rPr>
        <w:t>S</w:t>
      </w:r>
      <w:r w:rsidR="000D138C">
        <w:rPr>
          <w:rFonts w:cs="Arial"/>
          <w:szCs w:val="24"/>
        </w:rPr>
        <w:t xml:space="preserve">ometimes a single </w:t>
      </w:r>
      <w:r w:rsidRPr="00700978">
        <w:rPr>
          <w:rFonts w:cs="Arial"/>
          <w:szCs w:val="24"/>
        </w:rPr>
        <w:t xml:space="preserve">entrance point </w:t>
      </w:r>
      <w:r w:rsidR="000D138C">
        <w:rPr>
          <w:rFonts w:cs="Arial"/>
          <w:szCs w:val="24"/>
        </w:rPr>
        <w:t>is not effective for all people</w:t>
      </w:r>
      <w:r w:rsidR="00830D07">
        <w:rPr>
          <w:rFonts w:cs="Arial"/>
          <w:szCs w:val="24"/>
        </w:rPr>
        <w:t xml:space="preserve"> so a</w:t>
      </w:r>
      <w:r w:rsidR="00E7096E">
        <w:rPr>
          <w:rFonts w:cs="Arial"/>
          <w:szCs w:val="24"/>
        </w:rPr>
        <w:t xml:space="preserve"> flexible gateway into the </w:t>
      </w:r>
      <w:r w:rsidR="000D138C">
        <w:rPr>
          <w:rFonts w:cs="Arial"/>
          <w:szCs w:val="24"/>
        </w:rPr>
        <w:t xml:space="preserve">employment </w:t>
      </w:r>
      <w:r w:rsidR="00E7096E">
        <w:rPr>
          <w:rFonts w:cs="Arial"/>
          <w:szCs w:val="24"/>
        </w:rPr>
        <w:t xml:space="preserve">system is very important for people with blindness or vision impairment. </w:t>
      </w:r>
      <w:r w:rsidRPr="00700978">
        <w:rPr>
          <w:rFonts w:cs="Arial"/>
          <w:szCs w:val="24"/>
        </w:rPr>
        <w:t xml:space="preserve"> </w:t>
      </w:r>
    </w:p>
    <w:p w:rsidR="00757664" w:rsidRDefault="00A35966" w:rsidP="00C77126">
      <w:pPr>
        <w:spacing w:before="120"/>
        <w:rPr>
          <w:rFonts w:cs="Arial"/>
          <w:szCs w:val="24"/>
        </w:rPr>
      </w:pPr>
      <w:r>
        <w:rPr>
          <w:rFonts w:cs="Arial"/>
          <w:szCs w:val="24"/>
        </w:rPr>
        <w:t xml:space="preserve">ABF also supports individuals </w:t>
      </w:r>
      <w:r w:rsidRPr="00700978">
        <w:rPr>
          <w:rFonts w:cs="Arial"/>
          <w:b/>
          <w:szCs w:val="24"/>
        </w:rPr>
        <w:t>remaining in the system over their working life</w:t>
      </w:r>
      <w:r>
        <w:rPr>
          <w:rFonts w:cs="Arial"/>
          <w:szCs w:val="24"/>
        </w:rPr>
        <w:t xml:space="preserve"> on the proviso that the individual could </w:t>
      </w:r>
      <w:r w:rsidR="00C77126">
        <w:rPr>
          <w:rFonts w:cs="Arial"/>
          <w:szCs w:val="24"/>
        </w:rPr>
        <w:t>‘</w:t>
      </w:r>
      <w:r>
        <w:rPr>
          <w:rFonts w:cs="Arial"/>
          <w:szCs w:val="24"/>
        </w:rPr>
        <w:t>dip in and out</w:t>
      </w:r>
      <w:r w:rsidR="00C77126">
        <w:rPr>
          <w:rFonts w:cs="Arial"/>
          <w:szCs w:val="24"/>
        </w:rPr>
        <w:t>’</w:t>
      </w:r>
      <w:r>
        <w:rPr>
          <w:rFonts w:cs="Arial"/>
          <w:szCs w:val="24"/>
        </w:rPr>
        <w:t xml:space="preserve"> of the system if necessary without having to re-register each time. People with blindness or vision impairment need to access employment services and support on an episodic basis and so it would streamline this process for them if they can remain in the system regardless of whether they are always using the services.</w:t>
      </w:r>
    </w:p>
    <w:p w:rsidR="006C4CE9" w:rsidRPr="00757664" w:rsidRDefault="00757664" w:rsidP="00795E54">
      <w:pPr>
        <w:spacing w:before="120"/>
        <w:rPr>
          <w:b/>
        </w:rPr>
      </w:pPr>
      <w:r w:rsidRPr="00757664">
        <w:rPr>
          <w:b/>
        </w:rPr>
        <w:t>Career Planning Process</w:t>
      </w:r>
    </w:p>
    <w:p w:rsidR="00B51482" w:rsidRDefault="00B51482" w:rsidP="00B471F9">
      <w:pPr>
        <w:spacing w:before="120"/>
      </w:pPr>
      <w:r>
        <w:t>Overall ABF does not support the separation of career planning from the delivery of employment services. The overarching imperative should be that the consumer has a choice</w:t>
      </w:r>
      <w:r w:rsidR="008A2BB4">
        <w:t xml:space="preserve"> as to</w:t>
      </w:r>
      <w:r>
        <w:t xml:space="preserve"> how their employment services are delivered (including career planning) and are given options relevant </w:t>
      </w:r>
      <w:r w:rsidR="00051359">
        <w:t xml:space="preserve">and specific </w:t>
      </w:r>
      <w:r>
        <w:t>to their disability.</w:t>
      </w:r>
      <w:r w:rsidR="001F34E7">
        <w:t xml:space="preserve"> This choice may include the convenience of being able to access both career planning and employment services from the same specialist provider, particularly in areas where there are limited providers of both these services.</w:t>
      </w:r>
    </w:p>
    <w:p w:rsidR="008A535A" w:rsidRDefault="00757664" w:rsidP="00B471F9">
      <w:pPr>
        <w:spacing w:before="120"/>
      </w:pPr>
      <w:r>
        <w:t>ABF has reviewed the proposed c</w:t>
      </w:r>
      <w:r w:rsidR="001C54FC">
        <w:t xml:space="preserve">haracteristics </w:t>
      </w:r>
      <w:r w:rsidR="00C77126">
        <w:t xml:space="preserve">for a career planning service </w:t>
      </w:r>
      <w:r w:rsidR="001C54FC">
        <w:t xml:space="preserve">outlined in the </w:t>
      </w:r>
      <w:r w:rsidR="008A2BB4">
        <w:t xml:space="preserve">DSS </w:t>
      </w:r>
      <w:r w:rsidR="00C77126">
        <w:t>online surveys</w:t>
      </w:r>
      <w:r w:rsidR="008A2BB4">
        <w:t xml:space="preserve"> and has the following comments:</w:t>
      </w:r>
    </w:p>
    <w:p w:rsidR="00757664" w:rsidRDefault="00757664" w:rsidP="008A535A">
      <w:pPr>
        <w:pStyle w:val="ListParagraph"/>
        <w:numPr>
          <w:ilvl w:val="0"/>
          <w:numId w:val="6"/>
        </w:numPr>
        <w:spacing w:before="120"/>
        <w:contextualSpacing w:val="0"/>
      </w:pPr>
      <w:r>
        <w:t xml:space="preserve">the most important characteristic of any career planning service is an </w:t>
      </w:r>
      <w:r w:rsidRPr="008A535A">
        <w:rPr>
          <w:b/>
        </w:rPr>
        <w:t xml:space="preserve">understanding of </w:t>
      </w:r>
      <w:r w:rsidR="00FD54EF" w:rsidRPr="008A535A">
        <w:rPr>
          <w:b/>
        </w:rPr>
        <w:t>disability</w:t>
      </w:r>
      <w:r>
        <w:t xml:space="preserve">. </w:t>
      </w:r>
      <w:r w:rsidR="00FD54EF">
        <w:t>It</w:t>
      </w:r>
      <w:r>
        <w:t xml:space="preserve"> is vital for any career planning service to have an awareness, training and specialty in career planning for people with</w:t>
      </w:r>
      <w:r w:rsidR="00C56CBC">
        <w:t xml:space="preserve"> blindness or vision impairment</w:t>
      </w:r>
      <w:r>
        <w:t>.</w:t>
      </w:r>
    </w:p>
    <w:p w:rsidR="00FD54EF" w:rsidRDefault="00757664" w:rsidP="008A535A">
      <w:pPr>
        <w:pStyle w:val="ListParagraph"/>
        <w:numPr>
          <w:ilvl w:val="0"/>
          <w:numId w:val="6"/>
        </w:numPr>
        <w:spacing w:before="120"/>
        <w:contextualSpacing w:val="0"/>
      </w:pPr>
      <w:r w:rsidRPr="008A535A">
        <w:rPr>
          <w:b/>
        </w:rPr>
        <w:t>expertise in career planning</w:t>
      </w:r>
      <w:r>
        <w:t xml:space="preserve"> is important, particularly to encourage client</w:t>
      </w:r>
      <w:r w:rsidR="00FD54EF">
        <w:t xml:space="preserve">s to have realistic goals. </w:t>
      </w:r>
      <w:r w:rsidR="00B471F9">
        <w:t xml:space="preserve">Sometimes people with </w:t>
      </w:r>
      <w:r w:rsidR="00C56CBC">
        <w:t>blindness or vision impairment</w:t>
      </w:r>
      <w:r w:rsidR="00B471F9">
        <w:t xml:space="preserve"> want to simply have a job and are not necessarily determined to pursue a long-term career. A career planner needs expertise is managing these differing goals and advising on appropriate jobs, applications and resumes in this context.</w:t>
      </w:r>
    </w:p>
    <w:p w:rsidR="00B471F9" w:rsidRDefault="00757664" w:rsidP="008A535A">
      <w:pPr>
        <w:pStyle w:val="ListParagraph"/>
        <w:numPr>
          <w:ilvl w:val="0"/>
          <w:numId w:val="6"/>
        </w:numPr>
        <w:spacing w:before="120"/>
        <w:contextualSpacing w:val="0"/>
      </w:pPr>
      <w:r w:rsidRPr="008A535A">
        <w:rPr>
          <w:b/>
        </w:rPr>
        <w:t>knowledge of the local labour market</w:t>
      </w:r>
      <w:r>
        <w:t xml:space="preserve"> is important. </w:t>
      </w:r>
      <w:r w:rsidR="00B471F9">
        <w:t xml:space="preserve">This is particularly relevant for people with </w:t>
      </w:r>
      <w:r w:rsidR="00C56CBC">
        <w:t>blindness or vision impairment</w:t>
      </w:r>
      <w:r w:rsidR="00B471F9">
        <w:t xml:space="preserve"> who may want to pursue a particular field of work</w:t>
      </w:r>
      <w:r w:rsidR="002D61D1">
        <w:t xml:space="preserve"> but </w:t>
      </w:r>
      <w:r w:rsidR="00AB1C00">
        <w:t>need advice as to whether appropriate</w:t>
      </w:r>
      <w:r w:rsidR="002D61D1">
        <w:t xml:space="preserve"> job opportunities in that field </w:t>
      </w:r>
      <w:r w:rsidR="00AB1C00">
        <w:t>are</w:t>
      </w:r>
      <w:r w:rsidR="002D61D1">
        <w:t xml:space="preserve"> available in the local area. </w:t>
      </w:r>
    </w:p>
    <w:p w:rsidR="00757664" w:rsidRDefault="00757664" w:rsidP="008A535A">
      <w:pPr>
        <w:pStyle w:val="ListParagraph"/>
        <w:numPr>
          <w:ilvl w:val="0"/>
          <w:numId w:val="6"/>
        </w:numPr>
        <w:tabs>
          <w:tab w:val="left" w:pos="1242"/>
        </w:tabs>
        <w:spacing w:before="120"/>
        <w:contextualSpacing w:val="0"/>
      </w:pPr>
      <w:r>
        <w:t xml:space="preserve">ABF </w:t>
      </w:r>
      <w:r w:rsidRPr="008A535A">
        <w:rPr>
          <w:b/>
        </w:rPr>
        <w:t>does not</w:t>
      </w:r>
      <w:r>
        <w:t xml:space="preserve"> rate independence from serv</w:t>
      </w:r>
      <w:r w:rsidR="001C54FC">
        <w:t xml:space="preserve">ice providers as important and </w:t>
      </w:r>
      <w:r>
        <w:t xml:space="preserve">does not feel it is a high priority that the career planning service is </w:t>
      </w:r>
      <w:r w:rsidRPr="008A2BB4">
        <w:rPr>
          <w:b/>
        </w:rPr>
        <w:t xml:space="preserve">located </w:t>
      </w:r>
      <w:r w:rsidR="008A535A" w:rsidRPr="008A2BB4">
        <w:rPr>
          <w:b/>
        </w:rPr>
        <w:t>close to where the client lives</w:t>
      </w:r>
      <w:r w:rsidR="008A535A">
        <w:t xml:space="preserve"> as much of this work can be done remotely. It is more important to have a specialist career planner who has expertise in advising people with blindness or vision impairment.</w:t>
      </w:r>
    </w:p>
    <w:p w:rsidR="00601F93" w:rsidRDefault="00601F93" w:rsidP="00795E54">
      <w:pPr>
        <w:spacing w:before="120"/>
        <w:rPr>
          <w:b/>
        </w:rPr>
      </w:pPr>
    </w:p>
    <w:p w:rsidR="00601F93" w:rsidRDefault="00601F93" w:rsidP="00795E54">
      <w:pPr>
        <w:spacing w:before="120"/>
        <w:rPr>
          <w:b/>
        </w:rPr>
      </w:pPr>
    </w:p>
    <w:p w:rsidR="00601F93" w:rsidRDefault="00601F93" w:rsidP="00795E54">
      <w:pPr>
        <w:spacing w:before="120"/>
        <w:rPr>
          <w:b/>
        </w:rPr>
      </w:pPr>
    </w:p>
    <w:p w:rsidR="00757664" w:rsidRPr="00757664" w:rsidRDefault="00757664" w:rsidP="00795E54">
      <w:pPr>
        <w:spacing w:before="120"/>
        <w:rPr>
          <w:b/>
        </w:rPr>
      </w:pPr>
      <w:r w:rsidRPr="00757664">
        <w:rPr>
          <w:b/>
        </w:rPr>
        <w:lastRenderedPageBreak/>
        <w:t>Career Action Plan</w:t>
      </w:r>
    </w:p>
    <w:p w:rsidR="00757664" w:rsidRDefault="00B90DDE" w:rsidP="00051359">
      <w:pPr>
        <w:spacing w:before="120"/>
      </w:pPr>
      <w:r>
        <w:t xml:space="preserve">The Discussion Paper refers to a </w:t>
      </w:r>
      <w:r w:rsidRPr="001C54FC">
        <w:rPr>
          <w:b/>
        </w:rPr>
        <w:t>service c</w:t>
      </w:r>
      <w:r w:rsidR="00757664" w:rsidRPr="001C54FC">
        <w:rPr>
          <w:b/>
        </w:rPr>
        <w:t>atalogue</w:t>
      </w:r>
      <w:r>
        <w:t xml:space="preserve"> from which consumers can choose appropriate services in line with their career action plan and agreed levels of funding for each service.</w:t>
      </w:r>
    </w:p>
    <w:p w:rsidR="00641664" w:rsidRDefault="00B90DDE" w:rsidP="00270B4A">
      <w:pPr>
        <w:spacing w:before="120"/>
      </w:pPr>
      <w:r w:rsidRPr="00CB226B">
        <w:t xml:space="preserve">ABF </w:t>
      </w:r>
      <w:r w:rsidR="00641664" w:rsidRPr="00CB226B">
        <w:t xml:space="preserve">would be concerned if a </w:t>
      </w:r>
      <w:r w:rsidRPr="00CB226B">
        <w:t xml:space="preserve">service catalogue </w:t>
      </w:r>
      <w:r w:rsidR="00641664" w:rsidRPr="00CB226B">
        <w:t>limited</w:t>
      </w:r>
      <w:r w:rsidRPr="00CB226B">
        <w:t xml:space="preserve"> the services available to a person with </w:t>
      </w:r>
      <w:r w:rsidR="00C56CBC" w:rsidRPr="00CB226B">
        <w:t>blindness or vision impairment</w:t>
      </w:r>
      <w:r w:rsidRPr="00CB226B">
        <w:t xml:space="preserve">. </w:t>
      </w:r>
      <w:r w:rsidR="00BA286D" w:rsidRPr="00CB226B">
        <w:t>It would be difficult for a service</w:t>
      </w:r>
      <w:r w:rsidR="00BA286D">
        <w:t xml:space="preserve"> catalogue to </w:t>
      </w:r>
      <w:r w:rsidR="006E7431">
        <w:t xml:space="preserve">encompass all services that cater to </w:t>
      </w:r>
      <w:r w:rsidR="00BA286D">
        <w:t xml:space="preserve">the specialist needs of many different disabilities. </w:t>
      </w:r>
    </w:p>
    <w:p w:rsidR="00641664" w:rsidRDefault="00BA286D" w:rsidP="00641664">
      <w:pPr>
        <w:spacing w:before="120"/>
      </w:pPr>
      <w:r>
        <w:t>For a person with blindness or vision impairment, t</w:t>
      </w:r>
      <w:r w:rsidR="00B90DDE">
        <w:t xml:space="preserve">he service catalogue may not </w:t>
      </w:r>
      <w:r>
        <w:t>include</w:t>
      </w:r>
      <w:r w:rsidR="00B90DDE">
        <w:t xml:space="preserve"> a specialist service provider </w:t>
      </w:r>
      <w:r w:rsidR="006E7431">
        <w:t xml:space="preserve">that provides specific </w:t>
      </w:r>
      <w:r w:rsidR="00B60818">
        <w:t>training for people with blindness or vision impairment. In particular, ABF would like to see other services such as mobility and adaptive technology training covered in the catalogue.</w:t>
      </w:r>
      <w:r w:rsidR="001C54FC">
        <w:t xml:space="preserve"> </w:t>
      </w:r>
    </w:p>
    <w:p w:rsidR="00757664" w:rsidRDefault="001C54FC" w:rsidP="00795E54">
      <w:pPr>
        <w:spacing w:before="120"/>
      </w:pPr>
      <w:r>
        <w:t xml:space="preserve">Therefore, a service catalogue could work </w:t>
      </w:r>
      <w:r w:rsidR="00641664">
        <w:t>if it is</w:t>
      </w:r>
      <w:r>
        <w:t xml:space="preserve"> a </w:t>
      </w:r>
      <w:r w:rsidRPr="00641664">
        <w:t>guide</w:t>
      </w:r>
      <w:r>
        <w:t xml:space="preserve"> to services </w:t>
      </w:r>
      <w:r w:rsidR="00641664">
        <w:t xml:space="preserve">or a tool for individuals to use, </w:t>
      </w:r>
      <w:r>
        <w:t>rather than a prescriptive document.</w:t>
      </w:r>
    </w:p>
    <w:p w:rsidR="00757664" w:rsidRPr="000B3C34" w:rsidRDefault="000B3C34" w:rsidP="00757664">
      <w:pPr>
        <w:rPr>
          <w:rFonts w:cs="Arial"/>
          <w:b/>
          <w:sz w:val="28"/>
          <w:szCs w:val="28"/>
        </w:rPr>
      </w:pPr>
      <w:r w:rsidRPr="000B3C34">
        <w:rPr>
          <w:rFonts w:cs="Arial"/>
          <w:b/>
          <w:sz w:val="28"/>
          <w:szCs w:val="28"/>
        </w:rPr>
        <w:t>On-going support and supported employment</w:t>
      </w:r>
    </w:p>
    <w:p w:rsidR="00360B6C" w:rsidRDefault="005925B8" w:rsidP="00795E54">
      <w:pPr>
        <w:spacing w:before="120"/>
      </w:pPr>
      <w:r>
        <w:t xml:space="preserve">ABF acknowledges the complex issues outlined in the Discussion Paper relating to specialised </w:t>
      </w:r>
      <w:r w:rsidR="000B3C34">
        <w:t xml:space="preserve">supported employment </w:t>
      </w:r>
      <w:r>
        <w:t>organisations,</w:t>
      </w:r>
      <w:r w:rsidR="000B3C34">
        <w:t xml:space="preserve"> ADEs</w:t>
      </w:r>
      <w:r w:rsidR="008B1380">
        <w:t>, including</w:t>
      </w:r>
      <w:r>
        <w:t xml:space="preserve"> concerns over inclusiveness and wage setting arrangements. However, ABF is of the view that ADEs still have</w:t>
      </w:r>
      <w:r w:rsidR="000B3C34">
        <w:t xml:space="preserve"> a very important part to play in assisting people with disability</w:t>
      </w:r>
      <w:r>
        <w:t>,</w:t>
      </w:r>
      <w:r w:rsidR="000B3C34">
        <w:t xml:space="preserve"> such as blindness or vision impairment. </w:t>
      </w:r>
    </w:p>
    <w:p w:rsidR="00C205A6" w:rsidRDefault="000B3C34" w:rsidP="00795E54">
      <w:pPr>
        <w:spacing w:before="120"/>
      </w:pPr>
      <w:r>
        <w:t>In particular</w:t>
      </w:r>
      <w:r w:rsidR="007568A4">
        <w:t xml:space="preserve">, ADEs provide an effective interim measure or transition for people with </w:t>
      </w:r>
      <w:r w:rsidR="00C56CBC">
        <w:t>blindness or vision impairment</w:t>
      </w:r>
      <w:r w:rsidR="007568A4">
        <w:t xml:space="preserve"> into the workforce inc</w:t>
      </w:r>
      <w:r w:rsidR="00360B6C">
        <w:t xml:space="preserve">luding developing </w:t>
      </w:r>
      <w:r w:rsidR="00795E54">
        <w:t xml:space="preserve">skills and </w:t>
      </w:r>
      <w:r w:rsidR="00360B6C">
        <w:t>a work ethic and understanding common work practices</w:t>
      </w:r>
      <w:r w:rsidR="007568A4">
        <w:t xml:space="preserve">. </w:t>
      </w:r>
      <w:r w:rsidR="00360B6C">
        <w:t>However, ABF supports the view that t</w:t>
      </w:r>
      <w:r w:rsidR="007568A4">
        <w:t xml:space="preserve">he primary </w:t>
      </w:r>
      <w:r w:rsidR="00360B6C">
        <w:t xml:space="preserve">purpose </w:t>
      </w:r>
      <w:r w:rsidR="007568A4">
        <w:t xml:space="preserve">of ADEs should be to transition people through </w:t>
      </w:r>
      <w:r w:rsidR="00360B6C">
        <w:t xml:space="preserve">the </w:t>
      </w:r>
      <w:r w:rsidR="007568A4">
        <w:t xml:space="preserve">workplaces and into open employment </w:t>
      </w:r>
      <w:r w:rsidR="00360B6C">
        <w:t xml:space="preserve">as an interim </w:t>
      </w:r>
      <w:r w:rsidR="00270B4A">
        <w:t xml:space="preserve">and flexible </w:t>
      </w:r>
      <w:r w:rsidR="00360B6C">
        <w:t xml:space="preserve">learning experience </w:t>
      </w:r>
      <w:r w:rsidR="007568A4">
        <w:t xml:space="preserve">rather than </w:t>
      </w:r>
      <w:r w:rsidR="00270B4A">
        <w:t>as a form of long term employment</w:t>
      </w:r>
      <w:r w:rsidR="00795E54">
        <w:t xml:space="preserve">, </w:t>
      </w:r>
      <w:r w:rsidR="00F700DF">
        <w:t xml:space="preserve">unless the individual chooses to stay in the ADE long term. </w:t>
      </w:r>
      <w:r w:rsidR="00270B4A">
        <w:t>ADEs can be likened to early intervention services f</w:t>
      </w:r>
      <w:r w:rsidR="00C205A6">
        <w:t>o</w:t>
      </w:r>
      <w:r w:rsidR="00F700DF">
        <w:t>r people transitioning to work</w:t>
      </w:r>
      <w:r w:rsidR="00C205A6">
        <w:t>.</w:t>
      </w:r>
    </w:p>
    <w:p w:rsidR="00D938E0" w:rsidRPr="001A2A5E" w:rsidRDefault="00795E54" w:rsidP="0051687D">
      <w:pPr>
        <w:rPr>
          <w:b/>
          <w:sz w:val="28"/>
          <w:szCs w:val="28"/>
        </w:rPr>
      </w:pPr>
      <w:r>
        <w:rPr>
          <w:b/>
          <w:sz w:val="28"/>
          <w:szCs w:val="28"/>
        </w:rPr>
        <w:t>Virtual market</w:t>
      </w:r>
      <w:r w:rsidR="00D938E0" w:rsidRPr="001A2A5E">
        <w:rPr>
          <w:b/>
          <w:sz w:val="28"/>
          <w:szCs w:val="28"/>
        </w:rPr>
        <w:t>place</w:t>
      </w:r>
    </w:p>
    <w:p w:rsidR="00757664" w:rsidRDefault="00795E54" w:rsidP="00795E54">
      <w:pPr>
        <w:spacing w:before="120"/>
      </w:pPr>
      <w:r>
        <w:t>While a virtual market</w:t>
      </w:r>
      <w:r w:rsidR="00733734">
        <w:t>place does have its merits, particularly for the future, an exclusively online system would be difficult for some people with disability to access and use, particularly people with blindness and vision impairment. It is important</w:t>
      </w:r>
      <w:r w:rsidR="0097577C">
        <w:t xml:space="preserve"> that there are other </w:t>
      </w:r>
      <w:r w:rsidR="000954DC">
        <w:t xml:space="preserve">options for people with </w:t>
      </w:r>
      <w:r w:rsidR="00C56CBC">
        <w:t>blindness or vision impairment</w:t>
      </w:r>
      <w:r w:rsidR="000954DC">
        <w:t xml:space="preserve"> to access</w:t>
      </w:r>
      <w:r w:rsidR="0097577C">
        <w:t xml:space="preserve"> the marketplace.</w:t>
      </w:r>
      <w:r w:rsidR="00AB332D">
        <w:t xml:space="preserve"> </w:t>
      </w:r>
    </w:p>
    <w:p w:rsidR="0079609E" w:rsidRDefault="0079609E" w:rsidP="00795E54">
      <w:pPr>
        <w:spacing w:before="120"/>
      </w:pPr>
      <w:r>
        <w:t xml:space="preserve">Some of the features </w:t>
      </w:r>
      <w:r w:rsidR="00795E54">
        <w:t xml:space="preserve">of a virtual marketplace </w:t>
      </w:r>
      <w:r>
        <w:t xml:space="preserve">listed in the Discussion Paper would be useful in the future, such as features that facilitate direct interaction between employers and people with disability about jobs and features that facilitate processing claims and providing information and education. </w:t>
      </w:r>
      <w:r w:rsidR="00471473">
        <w:t>These are only effective if they are meaningful and well supported.</w:t>
      </w:r>
    </w:p>
    <w:p w:rsidR="001D01C7" w:rsidRDefault="0079609E" w:rsidP="0079609E">
      <w:pPr>
        <w:spacing w:before="120"/>
      </w:pPr>
      <w:r>
        <w:t>A virtual marketplace would be a useful tool in the future but it is imperative it is set up properly and accessible with all information in accessible</w:t>
      </w:r>
      <w:r w:rsidR="008B1380">
        <w:t xml:space="preserve"> and alternate</w:t>
      </w:r>
      <w:r>
        <w:t xml:space="preserve"> formats.</w:t>
      </w:r>
      <w:r w:rsidR="00471473">
        <w:t xml:space="preserve"> For example, if the virtual marketplace featured tablet/mobile functionality, it is very important that it is accessible to all people with disability, particularly those with blindness or vision impairment.</w:t>
      </w:r>
    </w:p>
    <w:p w:rsidR="00784749" w:rsidRPr="00784749" w:rsidRDefault="00784749" w:rsidP="0079609E">
      <w:pPr>
        <w:spacing w:before="120"/>
        <w:rPr>
          <w:b/>
          <w:sz w:val="28"/>
          <w:szCs w:val="28"/>
        </w:rPr>
      </w:pPr>
      <w:r w:rsidRPr="00784749">
        <w:rPr>
          <w:b/>
          <w:sz w:val="28"/>
          <w:szCs w:val="28"/>
        </w:rPr>
        <w:lastRenderedPageBreak/>
        <w:t>General comments</w:t>
      </w:r>
    </w:p>
    <w:p w:rsidR="00784749" w:rsidRPr="00CB226B" w:rsidRDefault="003B350C" w:rsidP="0079609E">
      <w:pPr>
        <w:spacing w:before="120"/>
      </w:pPr>
      <w:r>
        <w:t>ABF members report that w</w:t>
      </w:r>
      <w:r w:rsidR="005C3D43" w:rsidRPr="00CB226B">
        <w:t xml:space="preserve">here specialist blindness agencies have a presence, </w:t>
      </w:r>
      <w:r w:rsidR="00784749" w:rsidRPr="00CB226B">
        <w:t xml:space="preserve">the current employment system for people with </w:t>
      </w:r>
      <w:r w:rsidR="00C56CBC" w:rsidRPr="00CB226B">
        <w:t>blindness or vision impairment</w:t>
      </w:r>
      <w:r w:rsidR="00784749" w:rsidRPr="00CB226B">
        <w:t xml:space="preserve"> is </w:t>
      </w:r>
      <w:r w:rsidR="005C3D43" w:rsidRPr="00CB226B">
        <w:t>working</w:t>
      </w:r>
      <w:r>
        <w:t xml:space="preserve"> overall</w:t>
      </w:r>
      <w:r w:rsidR="00784749" w:rsidRPr="00CB226B">
        <w:t xml:space="preserve">. </w:t>
      </w:r>
      <w:r w:rsidR="005C3D43" w:rsidRPr="00CB226B">
        <w:t>However, if specialist blindness agencies do not have a presence, t</w:t>
      </w:r>
      <w:r w:rsidR="006F2813" w:rsidRPr="00CB226B">
        <w:t xml:space="preserve">he current system is not </w:t>
      </w:r>
      <w:r>
        <w:t xml:space="preserve">as </w:t>
      </w:r>
      <w:r w:rsidR="006F2813" w:rsidRPr="00CB226B">
        <w:t>effec</w:t>
      </w:r>
      <w:r w:rsidR="005C3D43" w:rsidRPr="00CB226B">
        <w:t xml:space="preserve">tive. Unfortunately, the presence of specialist blindness agencies is not Australia-wide due to </w:t>
      </w:r>
      <w:r w:rsidR="006F2813" w:rsidRPr="00CB226B">
        <w:t xml:space="preserve">barriers based on economic service areas. </w:t>
      </w:r>
      <w:r w:rsidR="005C3D43" w:rsidRPr="00CB226B">
        <w:t>These</w:t>
      </w:r>
      <w:r w:rsidR="006F2813" w:rsidRPr="00CB226B">
        <w:t xml:space="preserve"> specialist group</w:t>
      </w:r>
      <w:r w:rsidR="005C3D43" w:rsidRPr="00CB226B">
        <w:t xml:space="preserve">s </w:t>
      </w:r>
      <w:r w:rsidR="006F2813" w:rsidRPr="00CB226B">
        <w:t xml:space="preserve">should be able to sell </w:t>
      </w:r>
      <w:r w:rsidR="005C3D43" w:rsidRPr="00CB226B">
        <w:t>their</w:t>
      </w:r>
      <w:r w:rsidR="006F2813" w:rsidRPr="00CB226B">
        <w:t xml:space="preserve"> services all over Australia.</w:t>
      </w:r>
    </w:p>
    <w:p w:rsidR="001D01C7" w:rsidRDefault="00F17CB2" w:rsidP="00795E54">
      <w:pPr>
        <w:spacing w:before="120"/>
      </w:pPr>
      <w:r w:rsidRPr="00CB226B">
        <w:t xml:space="preserve">While the proposals </w:t>
      </w:r>
      <w:r w:rsidR="00462556" w:rsidRPr="00CB226B">
        <w:t xml:space="preserve">in the Discussion Paper </w:t>
      </w:r>
      <w:r w:rsidRPr="00CB226B">
        <w:t xml:space="preserve">will address some of the criticisms of the current disability employment system, </w:t>
      </w:r>
      <w:r w:rsidR="009B613E" w:rsidRPr="00CB226B">
        <w:t>it does not address all of them</w:t>
      </w:r>
      <w:r w:rsidRPr="00CB226B">
        <w:t>.</w:t>
      </w:r>
      <w:r w:rsidR="009B613E" w:rsidRPr="00CB226B">
        <w:t xml:space="preserve"> </w:t>
      </w:r>
      <w:r w:rsidR="002F47EE" w:rsidRPr="00CB226B">
        <w:t xml:space="preserve">Some criticisms </w:t>
      </w:r>
      <w:r w:rsidR="005C3D43" w:rsidRPr="00CB226B">
        <w:t xml:space="preserve">of the disability employment system are </w:t>
      </w:r>
      <w:r w:rsidR="002F47EE" w:rsidRPr="00CB226B">
        <w:t xml:space="preserve">exacerbated by the administrative </w:t>
      </w:r>
      <w:r w:rsidR="005C3D43" w:rsidRPr="00CB226B">
        <w:t>burden</w:t>
      </w:r>
      <w:r w:rsidR="002F47EE" w:rsidRPr="00CB226B">
        <w:t xml:space="preserve"> that has been created.</w:t>
      </w:r>
    </w:p>
    <w:p w:rsidR="001D01C7" w:rsidRPr="001D01C7" w:rsidRDefault="001D01C7" w:rsidP="0079609E">
      <w:pPr>
        <w:spacing w:before="120"/>
        <w:rPr>
          <w:b/>
        </w:rPr>
      </w:pPr>
      <w:r w:rsidRPr="001D01C7">
        <w:rPr>
          <w:b/>
        </w:rPr>
        <w:t>Minimal hours</w:t>
      </w:r>
    </w:p>
    <w:p w:rsidR="00DB4680" w:rsidRPr="00601F93" w:rsidRDefault="003E552B" w:rsidP="0079609E">
      <w:pPr>
        <w:spacing w:before="120"/>
        <w:rPr>
          <w:rFonts w:cs="Arial"/>
          <w:iCs/>
          <w:sz w:val="22"/>
        </w:rPr>
      </w:pPr>
      <w:r w:rsidRPr="003E552B">
        <w:rPr>
          <w:rFonts w:cs="Arial"/>
          <w:iCs/>
        </w:rPr>
        <w:t xml:space="preserve">ABF </w:t>
      </w:r>
      <w:r w:rsidR="00795E54">
        <w:rPr>
          <w:rFonts w:cs="Arial"/>
          <w:iCs/>
        </w:rPr>
        <w:t>is concerned</w:t>
      </w:r>
      <w:r w:rsidRPr="003E552B">
        <w:rPr>
          <w:rFonts w:cs="Arial"/>
          <w:iCs/>
        </w:rPr>
        <w:t xml:space="preserve"> that current employment services focus on finding employment for people with disability for only minimal hours of employment per week, for example, eight hours per week. The focus needs to move away from finding employment for an individual for a minimum amount of hours and towards providing the individual with a flexible choice. This could involve giving an individual the ability to determine their own capabilities and the corresponding hours of work in conjunction with the assessment process.</w:t>
      </w:r>
    </w:p>
    <w:p w:rsidR="001D01C7" w:rsidRPr="001D01C7" w:rsidRDefault="001D01C7" w:rsidP="0079609E">
      <w:pPr>
        <w:spacing w:before="120"/>
        <w:rPr>
          <w:b/>
        </w:rPr>
      </w:pPr>
      <w:r w:rsidRPr="001D01C7">
        <w:rPr>
          <w:b/>
        </w:rPr>
        <w:t>Educating employers</w:t>
      </w:r>
    </w:p>
    <w:p w:rsidR="001D01C7" w:rsidRDefault="00784749" w:rsidP="00795E54">
      <w:pPr>
        <w:spacing w:before="120"/>
      </w:pPr>
      <w:r>
        <w:t xml:space="preserve">In addition to the </w:t>
      </w:r>
      <w:r w:rsidR="003A2F0F">
        <w:t xml:space="preserve">overall </w:t>
      </w:r>
      <w:r>
        <w:t xml:space="preserve">proposals in the Discussion Paper, ABF submits it is very important for employers </w:t>
      </w:r>
      <w:r w:rsidR="006F384D">
        <w:t>to be provided with education and information, such as disability awareness training, in order to dispel myths surrounding the employment of people with disability</w:t>
      </w:r>
      <w:r>
        <w:t xml:space="preserve">. </w:t>
      </w:r>
      <w:r w:rsidR="001C2BB9">
        <w:t xml:space="preserve">Many employers are reluctant to employ a person with disability because they believe there might be occupational health and safety or workplace liability issues. </w:t>
      </w:r>
    </w:p>
    <w:p w:rsidR="00784749" w:rsidRDefault="001D01C7" w:rsidP="0079609E">
      <w:pPr>
        <w:spacing w:before="120"/>
        <w:rPr>
          <w:color w:val="000000"/>
          <w:szCs w:val="24"/>
        </w:rPr>
      </w:pPr>
      <w:r>
        <w:t>A</w:t>
      </w:r>
      <w:r w:rsidR="001C2BB9">
        <w:t xml:space="preserve">ppropriate </w:t>
      </w:r>
      <w:r>
        <w:t>job design as well as</w:t>
      </w:r>
      <w:r w:rsidR="00784749">
        <w:t xml:space="preserve"> job descriptions</w:t>
      </w:r>
      <w:r w:rsidR="001C2BB9">
        <w:t xml:space="preserve"> and advertisements in accessible formats</w:t>
      </w:r>
      <w:r w:rsidR="00784749">
        <w:t xml:space="preserve"> are crucial </w:t>
      </w:r>
      <w:r w:rsidR="001C2BB9">
        <w:t xml:space="preserve">when </w:t>
      </w:r>
      <w:r w:rsidR="005238AC">
        <w:t xml:space="preserve">people with </w:t>
      </w:r>
      <w:r w:rsidR="00C56CBC">
        <w:t>blindness or vision impairment</w:t>
      </w:r>
      <w:r w:rsidR="001C2BB9">
        <w:t xml:space="preserve"> are looking for employment.</w:t>
      </w:r>
      <w:r>
        <w:t xml:space="preserve"> </w:t>
      </w:r>
      <w:r w:rsidR="008B1380">
        <w:t>As stated above, ABF</w:t>
      </w:r>
      <w:r w:rsidR="003A2F0F">
        <w:t xml:space="preserve"> and its members</w:t>
      </w:r>
      <w:r>
        <w:t xml:space="preserve"> have information for recruiters, employers, DES providers and government highlighting the advantages of employing people with disability and providing guidance on how to </w:t>
      </w:r>
      <w:r w:rsidRPr="001D01C7">
        <w:rPr>
          <w:color w:val="000000"/>
          <w:szCs w:val="24"/>
        </w:rPr>
        <w:t>successfully work with and integrate people who are blind or vision impaired in</w:t>
      </w:r>
      <w:r>
        <w:rPr>
          <w:color w:val="000000"/>
          <w:szCs w:val="24"/>
        </w:rPr>
        <w:t>to</w:t>
      </w:r>
      <w:r w:rsidRPr="001D01C7">
        <w:rPr>
          <w:color w:val="000000"/>
          <w:szCs w:val="24"/>
        </w:rPr>
        <w:t xml:space="preserve"> </w:t>
      </w:r>
      <w:r>
        <w:rPr>
          <w:color w:val="000000"/>
          <w:szCs w:val="24"/>
        </w:rPr>
        <w:t>the workplace.</w:t>
      </w:r>
      <w:r w:rsidR="00262206">
        <w:rPr>
          <w:color w:val="000000"/>
          <w:szCs w:val="24"/>
        </w:rPr>
        <w:t xml:space="preserve"> </w:t>
      </w:r>
      <w:r w:rsidR="00262206">
        <w:rPr>
          <w:rFonts w:cs="Arial"/>
          <w:szCs w:val="24"/>
        </w:rPr>
        <w:t>ABF itself has an employment information pack on its website that provides useful information for students, teachers, parents, job seekers and employers</w:t>
      </w:r>
      <w:r w:rsidR="00262206">
        <w:rPr>
          <w:rStyle w:val="FootnoteReference"/>
          <w:rFonts w:cs="Arial"/>
          <w:szCs w:val="24"/>
        </w:rPr>
        <w:footnoteReference w:id="7"/>
      </w:r>
      <w:r w:rsidR="00262206">
        <w:rPr>
          <w:rFonts w:cs="Arial"/>
          <w:szCs w:val="24"/>
        </w:rPr>
        <w:t>.</w:t>
      </w:r>
    </w:p>
    <w:p w:rsidR="002435A2" w:rsidRPr="002435A2" w:rsidRDefault="002435A2" w:rsidP="0079609E">
      <w:pPr>
        <w:spacing w:before="120"/>
        <w:rPr>
          <w:b/>
          <w:szCs w:val="24"/>
        </w:rPr>
      </w:pPr>
      <w:r w:rsidRPr="002435A2">
        <w:rPr>
          <w:b/>
          <w:color w:val="000000"/>
          <w:szCs w:val="24"/>
        </w:rPr>
        <w:t>Viability of service providers</w:t>
      </w:r>
    </w:p>
    <w:p w:rsidR="005B1AAB" w:rsidRPr="00856BA2" w:rsidRDefault="00792360" w:rsidP="0079609E">
      <w:pPr>
        <w:spacing w:before="120"/>
      </w:pPr>
      <w:r w:rsidRPr="00CB226B">
        <w:t xml:space="preserve">ABF </w:t>
      </w:r>
      <w:r w:rsidR="003A2F0F" w:rsidRPr="00CB226B">
        <w:t>is concerned</w:t>
      </w:r>
      <w:r w:rsidRPr="00CB226B">
        <w:t xml:space="preserve"> a move to an individualised funding</w:t>
      </w:r>
      <w:r w:rsidR="005B1AAB" w:rsidRPr="00CB226B">
        <w:t>, market-based model may</w:t>
      </w:r>
      <w:r w:rsidRPr="00CB226B">
        <w:t xml:space="preserve"> threaten the viability of </w:t>
      </w:r>
      <w:r w:rsidR="00370BEB">
        <w:t xml:space="preserve">some </w:t>
      </w:r>
      <w:r w:rsidRPr="00CB226B">
        <w:t>service providers</w:t>
      </w:r>
      <w:r w:rsidR="00856BA2">
        <w:rPr>
          <w:b/>
        </w:rPr>
        <w:t xml:space="preserve"> </w:t>
      </w:r>
      <w:r w:rsidR="00856BA2" w:rsidRPr="00856BA2">
        <w:t>due to the markets having to adjust to a new competitive environment.</w:t>
      </w:r>
    </w:p>
    <w:p w:rsidR="00792360" w:rsidRDefault="00792360" w:rsidP="0079609E">
      <w:pPr>
        <w:spacing w:before="120"/>
      </w:pPr>
      <w:r>
        <w:t>Th</w:t>
      </w:r>
      <w:r w:rsidR="00FE012A">
        <w:t xml:space="preserve">is is demonstrated by the similar situation with the introduction of the National Disability Insurance Scheme where </w:t>
      </w:r>
      <w:r w:rsidR="00856BA2">
        <w:t xml:space="preserve">some </w:t>
      </w:r>
      <w:r w:rsidR="00FE012A">
        <w:t xml:space="preserve">service providers are not only competing with each other more than before in a changing environment but </w:t>
      </w:r>
      <w:r w:rsidR="00856160">
        <w:t xml:space="preserve">are </w:t>
      </w:r>
      <w:r w:rsidR="00FE012A">
        <w:t xml:space="preserve">also having to deal with a reduction in funding from both government and philanthropic donations. </w:t>
      </w:r>
      <w:r w:rsidR="00FE012A">
        <w:lastRenderedPageBreak/>
        <w:t>This is already resulting in the demise, takeovers or mergers of established and long running service providers in the blindness sector who have previously provided excellent services to people who are blind or vision impaired.</w:t>
      </w:r>
    </w:p>
    <w:p w:rsidR="002435A2" w:rsidRPr="002435A2" w:rsidRDefault="002435A2" w:rsidP="0079609E">
      <w:pPr>
        <w:spacing w:before="120"/>
        <w:rPr>
          <w:b/>
        </w:rPr>
      </w:pPr>
      <w:r w:rsidRPr="002435A2">
        <w:rPr>
          <w:b/>
        </w:rPr>
        <w:t>Stage</w:t>
      </w:r>
      <w:r w:rsidR="00675CAB">
        <w:rPr>
          <w:b/>
        </w:rPr>
        <w:t>d</w:t>
      </w:r>
      <w:r w:rsidRPr="002435A2">
        <w:rPr>
          <w:b/>
        </w:rPr>
        <w:t xml:space="preserve"> implementation</w:t>
      </w:r>
    </w:p>
    <w:p w:rsidR="00784749" w:rsidRDefault="00784749" w:rsidP="0079609E">
      <w:pPr>
        <w:spacing w:before="120"/>
      </w:pPr>
      <w:r w:rsidRPr="00CB226B">
        <w:t xml:space="preserve">ABF </w:t>
      </w:r>
      <w:r w:rsidR="00636DA0" w:rsidRPr="00CB226B">
        <w:t xml:space="preserve">has </w:t>
      </w:r>
      <w:r w:rsidR="005C3D43" w:rsidRPr="00CB226B">
        <w:t xml:space="preserve">some </w:t>
      </w:r>
      <w:r w:rsidR="00636DA0" w:rsidRPr="00CB226B">
        <w:t>concerns about</w:t>
      </w:r>
      <w:r w:rsidRPr="00CB226B">
        <w:t xml:space="preserve"> a staged implementation over multiple years. </w:t>
      </w:r>
      <w:r w:rsidR="006F2813" w:rsidRPr="00CB226B">
        <w:t xml:space="preserve">Whilst service providers </w:t>
      </w:r>
      <w:r w:rsidR="00636DA0" w:rsidRPr="00CB226B">
        <w:t xml:space="preserve">may find </w:t>
      </w:r>
      <w:r w:rsidR="006F2813" w:rsidRPr="00CB226B">
        <w:t>a staged implementation</w:t>
      </w:r>
      <w:r w:rsidR="00636DA0" w:rsidRPr="00CB226B">
        <w:t xml:space="preserve"> easier to implement</w:t>
      </w:r>
      <w:r w:rsidR="006F2813" w:rsidRPr="00CB226B">
        <w:t xml:space="preserve">, consumers </w:t>
      </w:r>
      <w:r w:rsidR="00636DA0" w:rsidRPr="00CB226B">
        <w:t>may find the process confusing</w:t>
      </w:r>
      <w:r w:rsidRPr="00CB226B">
        <w:t>.</w:t>
      </w:r>
    </w:p>
    <w:p w:rsidR="0024218B" w:rsidRPr="00FE012A" w:rsidRDefault="00FE012A" w:rsidP="003A2F0F">
      <w:pPr>
        <w:spacing w:after="120"/>
        <w:rPr>
          <w:b/>
          <w:sz w:val="28"/>
          <w:szCs w:val="28"/>
        </w:rPr>
      </w:pPr>
      <w:r>
        <w:rPr>
          <w:b/>
          <w:sz w:val="28"/>
          <w:szCs w:val="28"/>
        </w:rPr>
        <w:t>O</w:t>
      </w:r>
      <w:r w:rsidRPr="00FE012A">
        <w:rPr>
          <w:b/>
          <w:sz w:val="28"/>
          <w:szCs w:val="28"/>
        </w:rPr>
        <w:t xml:space="preserve">ther </w:t>
      </w:r>
      <w:r w:rsidR="00995039">
        <w:rPr>
          <w:b/>
          <w:sz w:val="28"/>
          <w:szCs w:val="28"/>
        </w:rPr>
        <w:t>models, proposals or ideas</w:t>
      </w:r>
    </w:p>
    <w:p w:rsidR="0024218B" w:rsidRDefault="006F384D" w:rsidP="0079609E">
      <w:pPr>
        <w:spacing w:before="120"/>
      </w:pPr>
      <w:r>
        <w:t>In addition to the proposals outlined in the Discussion Paper to improve the current di</w:t>
      </w:r>
      <w:r w:rsidR="001859DF">
        <w:t xml:space="preserve">sability employment system, ABF proposes that people with disability need to be supported, assisted and provided incentives to explore other areas of employment such as starting their own </w:t>
      </w:r>
      <w:r w:rsidR="001859DF" w:rsidRPr="00995039">
        <w:rPr>
          <w:b/>
        </w:rPr>
        <w:t>small or micro businesses</w:t>
      </w:r>
      <w:r w:rsidR="001859DF">
        <w:t xml:space="preserve">. This would not only provide people with disability with employment and income, it would also </w:t>
      </w:r>
      <w:r w:rsidR="00995039">
        <w:t>empower them and can often result in the employment by these businesses of other people with disability.</w:t>
      </w:r>
    </w:p>
    <w:p w:rsidR="0024218B" w:rsidRDefault="0024218B" w:rsidP="0079609E">
      <w:pPr>
        <w:spacing w:before="120"/>
      </w:pPr>
    </w:p>
    <w:sectPr w:rsidR="0024218B">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50173" w:rsidRDefault="00950173" w:rsidP="00BE2F7E">
      <w:pPr>
        <w:spacing w:before="0"/>
      </w:pPr>
      <w:r>
        <w:separator/>
      </w:r>
    </w:p>
  </w:endnote>
  <w:endnote w:type="continuationSeparator" w:id="0">
    <w:p w:rsidR="00950173" w:rsidRDefault="00950173" w:rsidP="00BE2F7E">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5268726"/>
      <w:docPartObj>
        <w:docPartGallery w:val="Page Numbers (Bottom of Page)"/>
        <w:docPartUnique/>
      </w:docPartObj>
    </w:sdtPr>
    <w:sdtEndPr>
      <w:rPr>
        <w:noProof/>
      </w:rPr>
    </w:sdtEndPr>
    <w:sdtContent>
      <w:p w:rsidR="00896E51" w:rsidRDefault="00896E51">
        <w:pPr>
          <w:pStyle w:val="Footer"/>
          <w:jc w:val="right"/>
        </w:pPr>
        <w:r>
          <w:fldChar w:fldCharType="begin"/>
        </w:r>
        <w:r>
          <w:instrText xml:space="preserve"> PAGE   \* MERGEFORMAT </w:instrText>
        </w:r>
        <w:r>
          <w:fldChar w:fldCharType="separate"/>
        </w:r>
        <w:r w:rsidR="00BC12DD">
          <w:rPr>
            <w:noProof/>
          </w:rPr>
          <w:t>7</w:t>
        </w:r>
        <w:r>
          <w:rPr>
            <w:noProof/>
          </w:rPr>
          <w:fldChar w:fldCharType="end"/>
        </w:r>
      </w:p>
    </w:sdtContent>
  </w:sdt>
  <w:p w:rsidR="00896E51" w:rsidRDefault="00896E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50173" w:rsidRDefault="00950173" w:rsidP="00BE2F7E">
      <w:pPr>
        <w:spacing w:before="0"/>
      </w:pPr>
      <w:r>
        <w:separator/>
      </w:r>
    </w:p>
  </w:footnote>
  <w:footnote w:type="continuationSeparator" w:id="0">
    <w:p w:rsidR="00950173" w:rsidRDefault="00950173" w:rsidP="00BE2F7E">
      <w:pPr>
        <w:spacing w:before="0"/>
      </w:pPr>
      <w:r>
        <w:continuationSeparator/>
      </w:r>
    </w:p>
  </w:footnote>
  <w:footnote w:id="1">
    <w:p w:rsidR="00A57D0C" w:rsidRDefault="00A57D0C" w:rsidP="00A57D0C">
      <w:pPr>
        <w:pStyle w:val="FootnoteText"/>
        <w:rPr>
          <w:i/>
          <w:lang w:val="en-US"/>
        </w:rPr>
      </w:pPr>
      <w:r>
        <w:rPr>
          <w:rStyle w:val="FootnoteReference"/>
        </w:rPr>
        <w:footnoteRef/>
      </w:r>
      <w:r>
        <w:t xml:space="preserve"> </w:t>
      </w:r>
      <w:r w:rsidR="003E552B">
        <w:t xml:space="preserve">Access Economics Pty Ltd (with Vision2020), 2010, </w:t>
      </w:r>
      <w:r w:rsidR="003E552B" w:rsidRPr="00DB77C9">
        <w:rPr>
          <w:i/>
        </w:rPr>
        <w:t>Clear Focus: the economic impact of vision loss in Australia in 2009</w:t>
      </w:r>
      <w:r w:rsidR="003E552B">
        <w:t>, Melbourne, p.4</w:t>
      </w:r>
      <w:r w:rsidR="00E927BB">
        <w:t>.</w:t>
      </w:r>
    </w:p>
  </w:footnote>
  <w:footnote w:id="2">
    <w:p w:rsidR="00F44159" w:rsidRDefault="00F44159">
      <w:pPr>
        <w:pStyle w:val="FootnoteText"/>
      </w:pPr>
      <w:r>
        <w:rPr>
          <w:rStyle w:val="FootnoteReference"/>
        </w:rPr>
        <w:footnoteRef/>
      </w:r>
      <w:r>
        <w:t xml:space="preserve"> Blind Citizens Australia, </w:t>
      </w:r>
      <w:r w:rsidRPr="00F44159">
        <w:rPr>
          <w:i/>
        </w:rPr>
        <w:t>Hello Employers</w:t>
      </w:r>
      <w:r>
        <w:t xml:space="preserve">, Blind Citizens Australia Employment Policy Suite, </w:t>
      </w:r>
      <w:hyperlink r:id="rId1" w:history="1">
        <w:r w:rsidRPr="000F1B73">
          <w:rPr>
            <w:rStyle w:val="Hyperlink"/>
          </w:rPr>
          <w:t>http://wordpress.bca.org.au/polocy/</w:t>
        </w:r>
      </w:hyperlink>
      <w:r>
        <w:t>, accessed on 24 November 2015</w:t>
      </w:r>
    </w:p>
  </w:footnote>
  <w:footnote w:id="3">
    <w:p w:rsidR="003E552B" w:rsidRDefault="003E552B">
      <w:pPr>
        <w:pStyle w:val="FootnoteText"/>
      </w:pPr>
      <w:r>
        <w:rPr>
          <w:rStyle w:val="FootnoteReference"/>
        </w:rPr>
        <w:footnoteRef/>
      </w:r>
      <w:r>
        <w:t xml:space="preserve"> P.Broadhead, Department of Social Services, pers.comm., 13 October 2015</w:t>
      </w:r>
      <w:r w:rsidR="00C15DA3">
        <w:t>.</w:t>
      </w:r>
    </w:p>
  </w:footnote>
  <w:footnote w:id="4">
    <w:p w:rsidR="00E75D12" w:rsidRDefault="00E75D12" w:rsidP="00E75D12">
      <w:pPr>
        <w:pStyle w:val="FootnoteText"/>
      </w:pPr>
      <w:r>
        <w:rPr>
          <w:rStyle w:val="FootnoteReference"/>
        </w:rPr>
        <w:footnoteRef/>
      </w:r>
      <w:r>
        <w:t xml:space="preserve"> </w:t>
      </w:r>
      <w:r w:rsidR="008B0663">
        <w:t>ibid</w:t>
      </w:r>
      <w:r>
        <w:t>.</w:t>
      </w:r>
    </w:p>
  </w:footnote>
  <w:footnote w:id="5">
    <w:p w:rsidR="00E927BB" w:rsidRDefault="00E927BB" w:rsidP="00E927BB">
      <w:pPr>
        <w:pStyle w:val="FootnoteText"/>
      </w:pPr>
      <w:r>
        <w:rPr>
          <w:rStyle w:val="FootnoteReference"/>
        </w:rPr>
        <w:footnoteRef/>
      </w:r>
      <w:r>
        <w:t xml:space="preserve"> </w:t>
      </w:r>
      <w:r w:rsidR="008B0663">
        <w:t>ibid</w:t>
      </w:r>
      <w:r>
        <w:t>.</w:t>
      </w:r>
    </w:p>
  </w:footnote>
  <w:footnote w:id="6">
    <w:p w:rsidR="001C54FC" w:rsidRDefault="001C54FC">
      <w:pPr>
        <w:pStyle w:val="FootnoteText"/>
      </w:pPr>
      <w:r>
        <w:rPr>
          <w:rStyle w:val="FootnoteReference"/>
        </w:rPr>
        <w:footnoteRef/>
      </w:r>
      <w:r>
        <w:t xml:space="preserve"> </w:t>
      </w:r>
      <w:r w:rsidR="00C77126">
        <w:t xml:space="preserve">Australian Blindness Forum, Employment Information Pack, </w:t>
      </w:r>
      <w:hyperlink r:id="rId2" w:history="1">
        <w:r w:rsidR="00C77126" w:rsidRPr="006C3FF4">
          <w:rPr>
            <w:rStyle w:val="Hyperlink"/>
            <w:rFonts w:ascii="Segoe UI" w:eastAsiaTheme="minorHAnsi" w:hAnsi="Segoe UI" w:cs="Segoe UI"/>
          </w:rPr>
          <w:t>http://www.australianblindnessforum.org.au/Committees/Employment/Employers.html</w:t>
        </w:r>
      </w:hyperlink>
      <w:r w:rsidR="00C77126">
        <w:rPr>
          <w:rFonts w:ascii="Segoe UI" w:eastAsiaTheme="minorHAnsi" w:hAnsi="Segoe UI" w:cs="Segoe UI"/>
          <w:color w:val="000000"/>
        </w:rPr>
        <w:t xml:space="preserve">; </w:t>
      </w:r>
      <w:r w:rsidR="00C77126">
        <w:t xml:space="preserve">Blind Citizens Australia, </w:t>
      </w:r>
      <w:r w:rsidR="00C77126" w:rsidRPr="001C54FC">
        <w:rPr>
          <w:i/>
        </w:rPr>
        <w:t>Hello Employer</w:t>
      </w:r>
      <w:r w:rsidR="00C77126">
        <w:t xml:space="preserve">, Blind Citizens Australia Employment Policy Suite, </w:t>
      </w:r>
      <w:hyperlink r:id="rId3" w:history="1">
        <w:r w:rsidR="00C77126" w:rsidRPr="000F1B73">
          <w:rPr>
            <w:rStyle w:val="Hyperlink"/>
          </w:rPr>
          <w:t>http://wordpress.bca.org.au/polocy/</w:t>
        </w:r>
      </w:hyperlink>
      <w:r w:rsidR="00C77126">
        <w:t>, accessed on 24 November 2015</w:t>
      </w:r>
    </w:p>
  </w:footnote>
  <w:footnote w:id="7">
    <w:p w:rsidR="00262206" w:rsidRDefault="00262206" w:rsidP="00262206">
      <w:pPr>
        <w:pStyle w:val="FootnoteText"/>
      </w:pPr>
      <w:r>
        <w:rPr>
          <w:rStyle w:val="FootnoteReference"/>
        </w:rPr>
        <w:footnoteRef/>
      </w:r>
      <w:r>
        <w:t xml:space="preserve"> Australian Blindness Forum, Education Information Pack, </w:t>
      </w:r>
      <w:hyperlink r:id="rId4" w:history="1">
        <w:r w:rsidRPr="00594684">
          <w:rPr>
            <w:rStyle w:val="Hyperlink"/>
          </w:rPr>
          <w:t>http://www.australianblindnessforum.org.au/Committees/Employment/EmploymentInfoPack.html</w:t>
        </w:r>
      </w:hyperlink>
      <w:r>
        <w:t>, accessed on 24 November 2015.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00005"/>
    <w:multiLevelType w:val="hybridMultilevel"/>
    <w:tmpl w:val="D1FA0EA2"/>
    <w:lvl w:ilvl="0" w:tplc="FFFFFFFF">
      <w:numFmt w:val="bullet"/>
      <w:lvlText w:val="-"/>
      <w:lvlJc w:val="left"/>
      <w:pPr>
        <w:tabs>
          <w:tab w:val="num" w:pos="360"/>
        </w:tabs>
        <w:ind w:left="360" w:hanging="360"/>
      </w:pPr>
      <w:rPr>
        <w:rFonts w:ascii="Arial" w:eastAsia="Times" w:hAnsi="Arial" w:cs="Aria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DFB3C6B"/>
    <w:multiLevelType w:val="hybridMultilevel"/>
    <w:tmpl w:val="2500EE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7130DDC"/>
    <w:multiLevelType w:val="hybridMultilevel"/>
    <w:tmpl w:val="AE687774"/>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3" w15:restartNumberingAfterBreak="0">
    <w:nsid w:val="38205ADF"/>
    <w:multiLevelType w:val="hybridMultilevel"/>
    <w:tmpl w:val="DE68F0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AFE2E9A"/>
    <w:multiLevelType w:val="hybridMultilevel"/>
    <w:tmpl w:val="948C3A38"/>
    <w:lvl w:ilvl="0" w:tplc="0C090001">
      <w:start w:val="1"/>
      <w:numFmt w:val="bullet"/>
      <w:lvlText w:val=""/>
      <w:lvlJc w:val="left"/>
      <w:pPr>
        <w:ind w:left="927" w:hanging="360"/>
      </w:pPr>
      <w:rPr>
        <w:rFonts w:ascii="Symbol" w:hAnsi="Symbol"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5" w15:restartNumberingAfterBreak="0">
    <w:nsid w:val="6FC17DB3"/>
    <w:multiLevelType w:val="hybridMultilevel"/>
    <w:tmpl w:val="C8620F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73915CEC"/>
    <w:multiLevelType w:val="hybridMultilevel"/>
    <w:tmpl w:val="B8CA9A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5"/>
  </w:num>
  <w:num w:numId="5">
    <w:abstractNumId w:val="2"/>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687D"/>
    <w:rsid w:val="00003C60"/>
    <w:rsid w:val="00012C21"/>
    <w:rsid w:val="000152E3"/>
    <w:rsid w:val="000413F0"/>
    <w:rsid w:val="00051359"/>
    <w:rsid w:val="00051BB9"/>
    <w:rsid w:val="00056005"/>
    <w:rsid w:val="000628BF"/>
    <w:rsid w:val="0008221C"/>
    <w:rsid w:val="00084B20"/>
    <w:rsid w:val="000954DC"/>
    <w:rsid w:val="000B2C7D"/>
    <w:rsid w:val="000B3C34"/>
    <w:rsid w:val="000B4338"/>
    <w:rsid w:val="000C61A6"/>
    <w:rsid w:val="000C6FEF"/>
    <w:rsid w:val="000D138C"/>
    <w:rsid w:val="000E79F3"/>
    <w:rsid w:val="000F0F6A"/>
    <w:rsid w:val="00100C47"/>
    <w:rsid w:val="00106AC3"/>
    <w:rsid w:val="00106E96"/>
    <w:rsid w:val="00112BF1"/>
    <w:rsid w:val="001210E9"/>
    <w:rsid w:val="00121264"/>
    <w:rsid w:val="00123F35"/>
    <w:rsid w:val="00126606"/>
    <w:rsid w:val="0013540A"/>
    <w:rsid w:val="00135F37"/>
    <w:rsid w:val="00147AE8"/>
    <w:rsid w:val="001513E6"/>
    <w:rsid w:val="001619DC"/>
    <w:rsid w:val="0016694A"/>
    <w:rsid w:val="0018212A"/>
    <w:rsid w:val="001859DF"/>
    <w:rsid w:val="00191842"/>
    <w:rsid w:val="001923C9"/>
    <w:rsid w:val="00196BE0"/>
    <w:rsid w:val="00197EBD"/>
    <w:rsid w:val="001A2A5E"/>
    <w:rsid w:val="001A2BC5"/>
    <w:rsid w:val="001C2BB9"/>
    <w:rsid w:val="001C54FC"/>
    <w:rsid w:val="001C679E"/>
    <w:rsid w:val="001D01C7"/>
    <w:rsid w:val="001F34E7"/>
    <w:rsid w:val="001F3C37"/>
    <w:rsid w:val="00201D91"/>
    <w:rsid w:val="00210201"/>
    <w:rsid w:val="00213329"/>
    <w:rsid w:val="0021547C"/>
    <w:rsid w:val="00220459"/>
    <w:rsid w:val="002315E4"/>
    <w:rsid w:val="002326BF"/>
    <w:rsid w:val="00234BE8"/>
    <w:rsid w:val="00237C56"/>
    <w:rsid w:val="0024218B"/>
    <w:rsid w:val="002435A2"/>
    <w:rsid w:val="002440F2"/>
    <w:rsid w:val="00251DF3"/>
    <w:rsid w:val="00253EA8"/>
    <w:rsid w:val="00257015"/>
    <w:rsid w:val="00257854"/>
    <w:rsid w:val="00260DDE"/>
    <w:rsid w:val="00262206"/>
    <w:rsid w:val="00270B4A"/>
    <w:rsid w:val="00273FC4"/>
    <w:rsid w:val="00284C5F"/>
    <w:rsid w:val="00292114"/>
    <w:rsid w:val="00294D97"/>
    <w:rsid w:val="002954DC"/>
    <w:rsid w:val="002A1F4E"/>
    <w:rsid w:val="002A4881"/>
    <w:rsid w:val="002C5B3F"/>
    <w:rsid w:val="002D61D1"/>
    <w:rsid w:val="002E0161"/>
    <w:rsid w:val="002E5716"/>
    <w:rsid w:val="002F47EE"/>
    <w:rsid w:val="002F53D5"/>
    <w:rsid w:val="0030178E"/>
    <w:rsid w:val="003041F0"/>
    <w:rsid w:val="00310371"/>
    <w:rsid w:val="00346375"/>
    <w:rsid w:val="003508EF"/>
    <w:rsid w:val="00360B6C"/>
    <w:rsid w:val="003669DF"/>
    <w:rsid w:val="003700C3"/>
    <w:rsid w:val="003704EE"/>
    <w:rsid w:val="00370BEB"/>
    <w:rsid w:val="0037486A"/>
    <w:rsid w:val="00375F64"/>
    <w:rsid w:val="0037610F"/>
    <w:rsid w:val="00386948"/>
    <w:rsid w:val="00395190"/>
    <w:rsid w:val="003A2F0F"/>
    <w:rsid w:val="003A3325"/>
    <w:rsid w:val="003A4854"/>
    <w:rsid w:val="003B350C"/>
    <w:rsid w:val="003D00D1"/>
    <w:rsid w:val="003D3358"/>
    <w:rsid w:val="003E552B"/>
    <w:rsid w:val="003F0E8E"/>
    <w:rsid w:val="003F3B22"/>
    <w:rsid w:val="00401981"/>
    <w:rsid w:val="00401DD7"/>
    <w:rsid w:val="004066DB"/>
    <w:rsid w:val="00421904"/>
    <w:rsid w:val="00421DF9"/>
    <w:rsid w:val="00422FEC"/>
    <w:rsid w:val="00425775"/>
    <w:rsid w:val="004320AD"/>
    <w:rsid w:val="00437199"/>
    <w:rsid w:val="004406B5"/>
    <w:rsid w:val="00457DF0"/>
    <w:rsid w:val="00462556"/>
    <w:rsid w:val="00471473"/>
    <w:rsid w:val="00471C0E"/>
    <w:rsid w:val="00475A74"/>
    <w:rsid w:val="004966E4"/>
    <w:rsid w:val="004A0C40"/>
    <w:rsid w:val="004A2E13"/>
    <w:rsid w:val="004B4256"/>
    <w:rsid w:val="004B478D"/>
    <w:rsid w:val="004D0C57"/>
    <w:rsid w:val="004D4291"/>
    <w:rsid w:val="004E24A9"/>
    <w:rsid w:val="004F4269"/>
    <w:rsid w:val="004F585E"/>
    <w:rsid w:val="005007D0"/>
    <w:rsid w:val="00514104"/>
    <w:rsid w:val="00514B06"/>
    <w:rsid w:val="0051687D"/>
    <w:rsid w:val="005209E7"/>
    <w:rsid w:val="005238AC"/>
    <w:rsid w:val="005466F3"/>
    <w:rsid w:val="00550940"/>
    <w:rsid w:val="00552E7F"/>
    <w:rsid w:val="005607A8"/>
    <w:rsid w:val="005714BE"/>
    <w:rsid w:val="00580A96"/>
    <w:rsid w:val="00581044"/>
    <w:rsid w:val="005925B8"/>
    <w:rsid w:val="00593637"/>
    <w:rsid w:val="005A59FF"/>
    <w:rsid w:val="005A6287"/>
    <w:rsid w:val="005B023D"/>
    <w:rsid w:val="005B1AAB"/>
    <w:rsid w:val="005B1F53"/>
    <w:rsid w:val="005C0579"/>
    <w:rsid w:val="005C3D43"/>
    <w:rsid w:val="005D29C7"/>
    <w:rsid w:val="005E7420"/>
    <w:rsid w:val="005F2057"/>
    <w:rsid w:val="005F25AA"/>
    <w:rsid w:val="00600D2C"/>
    <w:rsid w:val="00601F93"/>
    <w:rsid w:val="006073F8"/>
    <w:rsid w:val="006152C1"/>
    <w:rsid w:val="006201B1"/>
    <w:rsid w:val="00620B66"/>
    <w:rsid w:val="00623DF9"/>
    <w:rsid w:val="0062773D"/>
    <w:rsid w:val="00627FD0"/>
    <w:rsid w:val="00633A22"/>
    <w:rsid w:val="00635236"/>
    <w:rsid w:val="00636DA0"/>
    <w:rsid w:val="00641664"/>
    <w:rsid w:val="00650337"/>
    <w:rsid w:val="006507AE"/>
    <w:rsid w:val="0067444D"/>
    <w:rsid w:val="00675CAB"/>
    <w:rsid w:val="00677FF0"/>
    <w:rsid w:val="006A0998"/>
    <w:rsid w:val="006A1F40"/>
    <w:rsid w:val="006C1675"/>
    <w:rsid w:val="006C2348"/>
    <w:rsid w:val="006C4CE9"/>
    <w:rsid w:val="006D5459"/>
    <w:rsid w:val="006E7431"/>
    <w:rsid w:val="006F2813"/>
    <w:rsid w:val="006F3153"/>
    <w:rsid w:val="006F384D"/>
    <w:rsid w:val="00700978"/>
    <w:rsid w:val="00700D7D"/>
    <w:rsid w:val="00704065"/>
    <w:rsid w:val="007136F6"/>
    <w:rsid w:val="00716C26"/>
    <w:rsid w:val="007257C4"/>
    <w:rsid w:val="00733734"/>
    <w:rsid w:val="00742B3F"/>
    <w:rsid w:val="00743269"/>
    <w:rsid w:val="007516D3"/>
    <w:rsid w:val="007568A4"/>
    <w:rsid w:val="00757664"/>
    <w:rsid w:val="00780BE5"/>
    <w:rsid w:val="0078454B"/>
    <w:rsid w:val="00784749"/>
    <w:rsid w:val="00792360"/>
    <w:rsid w:val="00795E54"/>
    <w:rsid w:val="0079609E"/>
    <w:rsid w:val="0079682F"/>
    <w:rsid w:val="007A5E3A"/>
    <w:rsid w:val="007A7F04"/>
    <w:rsid w:val="007D2205"/>
    <w:rsid w:val="007D7642"/>
    <w:rsid w:val="007E7343"/>
    <w:rsid w:val="007F2530"/>
    <w:rsid w:val="007F49D3"/>
    <w:rsid w:val="00815DDF"/>
    <w:rsid w:val="0081738C"/>
    <w:rsid w:val="00820D95"/>
    <w:rsid w:val="008223A9"/>
    <w:rsid w:val="008259E7"/>
    <w:rsid w:val="00825BD5"/>
    <w:rsid w:val="00830D07"/>
    <w:rsid w:val="00834EB3"/>
    <w:rsid w:val="00836AED"/>
    <w:rsid w:val="00846F73"/>
    <w:rsid w:val="00856160"/>
    <w:rsid w:val="00856BA2"/>
    <w:rsid w:val="00857527"/>
    <w:rsid w:val="00860621"/>
    <w:rsid w:val="00861B90"/>
    <w:rsid w:val="00872A31"/>
    <w:rsid w:val="008769A5"/>
    <w:rsid w:val="00877BE5"/>
    <w:rsid w:val="00881500"/>
    <w:rsid w:val="008852EF"/>
    <w:rsid w:val="00886BC4"/>
    <w:rsid w:val="008941C0"/>
    <w:rsid w:val="008943CF"/>
    <w:rsid w:val="00896E51"/>
    <w:rsid w:val="008A1F55"/>
    <w:rsid w:val="008A2BB4"/>
    <w:rsid w:val="008A535A"/>
    <w:rsid w:val="008B0663"/>
    <w:rsid w:val="008B1380"/>
    <w:rsid w:val="008C7666"/>
    <w:rsid w:val="008E69B4"/>
    <w:rsid w:val="008E75C4"/>
    <w:rsid w:val="008E7A98"/>
    <w:rsid w:val="008F3556"/>
    <w:rsid w:val="008F775A"/>
    <w:rsid w:val="00907BED"/>
    <w:rsid w:val="00914158"/>
    <w:rsid w:val="00914475"/>
    <w:rsid w:val="00915ADE"/>
    <w:rsid w:val="00916953"/>
    <w:rsid w:val="00917D1D"/>
    <w:rsid w:val="009228C7"/>
    <w:rsid w:val="00925186"/>
    <w:rsid w:val="0092614D"/>
    <w:rsid w:val="00934AB0"/>
    <w:rsid w:val="00935F76"/>
    <w:rsid w:val="00936C33"/>
    <w:rsid w:val="009374F8"/>
    <w:rsid w:val="00946DEE"/>
    <w:rsid w:val="00950173"/>
    <w:rsid w:val="009639C8"/>
    <w:rsid w:val="0096461C"/>
    <w:rsid w:val="00972D47"/>
    <w:rsid w:val="0097577C"/>
    <w:rsid w:val="00977F4B"/>
    <w:rsid w:val="00986B44"/>
    <w:rsid w:val="00986C64"/>
    <w:rsid w:val="00995039"/>
    <w:rsid w:val="00996894"/>
    <w:rsid w:val="009B613E"/>
    <w:rsid w:val="009D2E86"/>
    <w:rsid w:val="009D30D3"/>
    <w:rsid w:val="009D6D3A"/>
    <w:rsid w:val="009D744E"/>
    <w:rsid w:val="009E300B"/>
    <w:rsid w:val="009E37A1"/>
    <w:rsid w:val="009F4B8F"/>
    <w:rsid w:val="00A06FAC"/>
    <w:rsid w:val="00A210A7"/>
    <w:rsid w:val="00A24296"/>
    <w:rsid w:val="00A35966"/>
    <w:rsid w:val="00A37501"/>
    <w:rsid w:val="00A4004F"/>
    <w:rsid w:val="00A47718"/>
    <w:rsid w:val="00A5249B"/>
    <w:rsid w:val="00A5360F"/>
    <w:rsid w:val="00A53D58"/>
    <w:rsid w:val="00A57D0C"/>
    <w:rsid w:val="00A72F59"/>
    <w:rsid w:val="00A745B9"/>
    <w:rsid w:val="00A80DD2"/>
    <w:rsid w:val="00A86F27"/>
    <w:rsid w:val="00AA0904"/>
    <w:rsid w:val="00AA6159"/>
    <w:rsid w:val="00AA68D6"/>
    <w:rsid w:val="00AB1C00"/>
    <w:rsid w:val="00AB332D"/>
    <w:rsid w:val="00AB64B1"/>
    <w:rsid w:val="00AD6D49"/>
    <w:rsid w:val="00AE68E7"/>
    <w:rsid w:val="00AF71A6"/>
    <w:rsid w:val="00B06B85"/>
    <w:rsid w:val="00B14865"/>
    <w:rsid w:val="00B173AD"/>
    <w:rsid w:val="00B23DF6"/>
    <w:rsid w:val="00B24A46"/>
    <w:rsid w:val="00B25924"/>
    <w:rsid w:val="00B27CD8"/>
    <w:rsid w:val="00B4189A"/>
    <w:rsid w:val="00B471F9"/>
    <w:rsid w:val="00B51434"/>
    <w:rsid w:val="00B51482"/>
    <w:rsid w:val="00B60818"/>
    <w:rsid w:val="00B64E42"/>
    <w:rsid w:val="00B70C1C"/>
    <w:rsid w:val="00B766D4"/>
    <w:rsid w:val="00B82091"/>
    <w:rsid w:val="00B8307F"/>
    <w:rsid w:val="00B83DF5"/>
    <w:rsid w:val="00B86183"/>
    <w:rsid w:val="00B87FBF"/>
    <w:rsid w:val="00B90DDE"/>
    <w:rsid w:val="00B9254E"/>
    <w:rsid w:val="00B93395"/>
    <w:rsid w:val="00B96BD3"/>
    <w:rsid w:val="00BA0C89"/>
    <w:rsid w:val="00BA10D2"/>
    <w:rsid w:val="00BA286D"/>
    <w:rsid w:val="00BA6F5F"/>
    <w:rsid w:val="00BB1D83"/>
    <w:rsid w:val="00BC12DD"/>
    <w:rsid w:val="00BD6BC2"/>
    <w:rsid w:val="00BE09BD"/>
    <w:rsid w:val="00BE2F7E"/>
    <w:rsid w:val="00C1095A"/>
    <w:rsid w:val="00C1455E"/>
    <w:rsid w:val="00C14CE3"/>
    <w:rsid w:val="00C15396"/>
    <w:rsid w:val="00C15DA3"/>
    <w:rsid w:val="00C205A6"/>
    <w:rsid w:val="00C24819"/>
    <w:rsid w:val="00C34D6A"/>
    <w:rsid w:val="00C429BB"/>
    <w:rsid w:val="00C47FDD"/>
    <w:rsid w:val="00C56CBC"/>
    <w:rsid w:val="00C624A3"/>
    <w:rsid w:val="00C7305F"/>
    <w:rsid w:val="00C7507F"/>
    <w:rsid w:val="00C77126"/>
    <w:rsid w:val="00C77D82"/>
    <w:rsid w:val="00C80808"/>
    <w:rsid w:val="00CA24D6"/>
    <w:rsid w:val="00CA3620"/>
    <w:rsid w:val="00CB115D"/>
    <w:rsid w:val="00CB226B"/>
    <w:rsid w:val="00CC1497"/>
    <w:rsid w:val="00CC560A"/>
    <w:rsid w:val="00CD655D"/>
    <w:rsid w:val="00CE3A4A"/>
    <w:rsid w:val="00CF24AC"/>
    <w:rsid w:val="00D01318"/>
    <w:rsid w:val="00D017B0"/>
    <w:rsid w:val="00D03EAF"/>
    <w:rsid w:val="00D07CA3"/>
    <w:rsid w:val="00D13A31"/>
    <w:rsid w:val="00D13F28"/>
    <w:rsid w:val="00D22391"/>
    <w:rsid w:val="00D23503"/>
    <w:rsid w:val="00D26064"/>
    <w:rsid w:val="00D33E6D"/>
    <w:rsid w:val="00D350E6"/>
    <w:rsid w:val="00D442A6"/>
    <w:rsid w:val="00D6104F"/>
    <w:rsid w:val="00D6174A"/>
    <w:rsid w:val="00D678E1"/>
    <w:rsid w:val="00D73F2A"/>
    <w:rsid w:val="00D80126"/>
    <w:rsid w:val="00D80807"/>
    <w:rsid w:val="00D91FC7"/>
    <w:rsid w:val="00D938E0"/>
    <w:rsid w:val="00D93F23"/>
    <w:rsid w:val="00DB4680"/>
    <w:rsid w:val="00DB7968"/>
    <w:rsid w:val="00DC047E"/>
    <w:rsid w:val="00DC20CB"/>
    <w:rsid w:val="00DC3F05"/>
    <w:rsid w:val="00DC471A"/>
    <w:rsid w:val="00DD40F5"/>
    <w:rsid w:val="00E02273"/>
    <w:rsid w:val="00E0254C"/>
    <w:rsid w:val="00E12C7E"/>
    <w:rsid w:val="00E22C45"/>
    <w:rsid w:val="00E51311"/>
    <w:rsid w:val="00E631B7"/>
    <w:rsid w:val="00E66F6C"/>
    <w:rsid w:val="00E7096E"/>
    <w:rsid w:val="00E7262D"/>
    <w:rsid w:val="00E75D12"/>
    <w:rsid w:val="00E927BB"/>
    <w:rsid w:val="00E953F5"/>
    <w:rsid w:val="00E97400"/>
    <w:rsid w:val="00EA78B8"/>
    <w:rsid w:val="00EB1796"/>
    <w:rsid w:val="00EB2187"/>
    <w:rsid w:val="00EB4548"/>
    <w:rsid w:val="00EB5384"/>
    <w:rsid w:val="00EB551A"/>
    <w:rsid w:val="00EB5587"/>
    <w:rsid w:val="00ED165D"/>
    <w:rsid w:val="00ED4575"/>
    <w:rsid w:val="00ED5FAD"/>
    <w:rsid w:val="00EE1F8A"/>
    <w:rsid w:val="00EE1FB1"/>
    <w:rsid w:val="00EF0B63"/>
    <w:rsid w:val="00EF31BE"/>
    <w:rsid w:val="00EF5E85"/>
    <w:rsid w:val="00F11CD8"/>
    <w:rsid w:val="00F13980"/>
    <w:rsid w:val="00F14430"/>
    <w:rsid w:val="00F148A7"/>
    <w:rsid w:val="00F14B03"/>
    <w:rsid w:val="00F17CB2"/>
    <w:rsid w:val="00F2281B"/>
    <w:rsid w:val="00F22CEC"/>
    <w:rsid w:val="00F43354"/>
    <w:rsid w:val="00F44159"/>
    <w:rsid w:val="00F458A5"/>
    <w:rsid w:val="00F462E2"/>
    <w:rsid w:val="00F50153"/>
    <w:rsid w:val="00F504CD"/>
    <w:rsid w:val="00F55E6A"/>
    <w:rsid w:val="00F61A89"/>
    <w:rsid w:val="00F700DF"/>
    <w:rsid w:val="00F719E0"/>
    <w:rsid w:val="00F761FF"/>
    <w:rsid w:val="00F7708E"/>
    <w:rsid w:val="00F864B7"/>
    <w:rsid w:val="00F97968"/>
    <w:rsid w:val="00FA5F3E"/>
    <w:rsid w:val="00FC1FFC"/>
    <w:rsid w:val="00FC6E39"/>
    <w:rsid w:val="00FD5001"/>
    <w:rsid w:val="00FD54EF"/>
    <w:rsid w:val="00FE012A"/>
    <w:rsid w:val="00FE52AA"/>
    <w:rsid w:val="00FE6A90"/>
    <w:rsid w:val="00FF082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66E8C8-483C-495B-A530-D629896EB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1687D"/>
    <w:pPr>
      <w:spacing w:before="240" w:after="0" w:line="240" w:lineRule="auto"/>
    </w:pPr>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link w:val="NoSpacingChar"/>
    <w:uiPriority w:val="1"/>
    <w:qFormat/>
    <w:rsid w:val="0051687D"/>
  </w:style>
  <w:style w:type="character" w:customStyle="1" w:styleId="NoSpacingChar">
    <w:name w:val="No Spacing Char"/>
    <w:basedOn w:val="DefaultParagraphFont"/>
    <w:link w:val="NoSpacing"/>
    <w:uiPriority w:val="1"/>
    <w:rsid w:val="0051687D"/>
    <w:rPr>
      <w:rFonts w:ascii="Arial" w:eastAsia="Times New Roman" w:hAnsi="Arial" w:cs="Times New Roman"/>
      <w:sz w:val="24"/>
      <w:szCs w:val="20"/>
    </w:rPr>
  </w:style>
  <w:style w:type="table" w:styleId="TableGrid">
    <w:name w:val="Table Grid"/>
    <w:basedOn w:val="TableNormal"/>
    <w:uiPriority w:val="59"/>
    <w:rsid w:val="0051687D"/>
    <w:pPr>
      <w:spacing w:after="0" w:line="240" w:lineRule="auto"/>
    </w:pPr>
    <w:rPr>
      <w:rFonts w:eastAsia="MS Mincho"/>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C4CE9"/>
    <w:pPr>
      <w:ind w:left="720"/>
      <w:contextualSpacing/>
    </w:pPr>
  </w:style>
  <w:style w:type="paragraph" w:styleId="FootnoteText">
    <w:name w:val="footnote text"/>
    <w:basedOn w:val="Normal"/>
    <w:link w:val="FootnoteTextChar"/>
    <w:semiHidden/>
    <w:rsid w:val="00BE2F7E"/>
    <w:pPr>
      <w:spacing w:before="0"/>
    </w:pPr>
    <w:rPr>
      <w:sz w:val="20"/>
    </w:rPr>
  </w:style>
  <w:style w:type="character" w:customStyle="1" w:styleId="FootnoteTextChar">
    <w:name w:val="Footnote Text Char"/>
    <w:basedOn w:val="DefaultParagraphFont"/>
    <w:link w:val="FootnoteText"/>
    <w:semiHidden/>
    <w:rsid w:val="00BE2F7E"/>
    <w:rPr>
      <w:rFonts w:ascii="Arial" w:eastAsia="Times New Roman" w:hAnsi="Arial" w:cs="Times New Roman"/>
      <w:sz w:val="20"/>
      <w:szCs w:val="20"/>
    </w:rPr>
  </w:style>
  <w:style w:type="character" w:styleId="FootnoteReference">
    <w:name w:val="footnote reference"/>
    <w:semiHidden/>
    <w:rsid w:val="00BE2F7E"/>
    <w:rPr>
      <w:vertAlign w:val="superscript"/>
    </w:rPr>
  </w:style>
  <w:style w:type="paragraph" w:styleId="Header">
    <w:name w:val="header"/>
    <w:basedOn w:val="Normal"/>
    <w:link w:val="HeaderChar"/>
    <w:uiPriority w:val="99"/>
    <w:unhideWhenUsed/>
    <w:rsid w:val="00896E51"/>
    <w:pPr>
      <w:tabs>
        <w:tab w:val="center" w:pos="4513"/>
        <w:tab w:val="right" w:pos="9026"/>
      </w:tabs>
      <w:spacing w:before="0"/>
    </w:pPr>
  </w:style>
  <w:style w:type="character" w:customStyle="1" w:styleId="HeaderChar">
    <w:name w:val="Header Char"/>
    <w:basedOn w:val="DefaultParagraphFont"/>
    <w:link w:val="Header"/>
    <w:uiPriority w:val="99"/>
    <w:rsid w:val="00896E51"/>
    <w:rPr>
      <w:rFonts w:ascii="Arial" w:eastAsia="Times New Roman" w:hAnsi="Arial" w:cs="Times New Roman"/>
      <w:sz w:val="24"/>
      <w:szCs w:val="20"/>
    </w:rPr>
  </w:style>
  <w:style w:type="paragraph" w:styleId="Footer">
    <w:name w:val="footer"/>
    <w:basedOn w:val="Normal"/>
    <w:link w:val="FooterChar"/>
    <w:uiPriority w:val="99"/>
    <w:unhideWhenUsed/>
    <w:rsid w:val="00896E51"/>
    <w:pPr>
      <w:tabs>
        <w:tab w:val="center" w:pos="4513"/>
        <w:tab w:val="right" w:pos="9026"/>
      </w:tabs>
      <w:spacing w:before="0"/>
    </w:pPr>
  </w:style>
  <w:style w:type="character" w:customStyle="1" w:styleId="FooterChar">
    <w:name w:val="Footer Char"/>
    <w:basedOn w:val="DefaultParagraphFont"/>
    <w:link w:val="Footer"/>
    <w:uiPriority w:val="99"/>
    <w:rsid w:val="00896E51"/>
    <w:rPr>
      <w:rFonts w:ascii="Arial" w:eastAsia="Times New Roman" w:hAnsi="Arial" w:cs="Times New Roman"/>
      <w:sz w:val="24"/>
      <w:szCs w:val="20"/>
    </w:rPr>
  </w:style>
  <w:style w:type="character" w:styleId="Hyperlink">
    <w:name w:val="Hyperlink"/>
    <w:basedOn w:val="DefaultParagraphFont"/>
    <w:uiPriority w:val="99"/>
    <w:unhideWhenUsed/>
    <w:rsid w:val="00F4415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5310032">
      <w:bodyDiv w:val="1"/>
      <w:marLeft w:val="0"/>
      <w:marRight w:val="0"/>
      <w:marTop w:val="0"/>
      <w:marBottom w:val="0"/>
      <w:divBdr>
        <w:top w:val="none" w:sz="0" w:space="0" w:color="auto"/>
        <w:left w:val="none" w:sz="0" w:space="0" w:color="auto"/>
        <w:bottom w:val="none" w:sz="0" w:space="0" w:color="auto"/>
        <w:right w:val="none" w:sz="0" w:space="0" w:color="auto"/>
      </w:divBdr>
    </w:div>
    <w:div w:id="733965089">
      <w:bodyDiv w:val="1"/>
      <w:marLeft w:val="0"/>
      <w:marRight w:val="0"/>
      <w:marTop w:val="0"/>
      <w:marBottom w:val="0"/>
      <w:divBdr>
        <w:top w:val="none" w:sz="0" w:space="0" w:color="auto"/>
        <w:left w:val="none" w:sz="0" w:space="0" w:color="auto"/>
        <w:bottom w:val="none" w:sz="0" w:space="0" w:color="auto"/>
        <w:right w:val="none" w:sz="0" w:space="0" w:color="auto"/>
      </w:divBdr>
    </w:div>
    <w:div w:id="1190604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townsendhouse.com.a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users.tpg.com.au/canblind/"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rsb.org.a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lindwelfare.org.au/" TargetMode="External"/><Relationship Id="rId5" Type="http://schemas.openxmlformats.org/officeDocument/2006/relationships/webSettings" Target="webSettings.xml"/><Relationship Id="rId15" Type="http://schemas.openxmlformats.org/officeDocument/2006/relationships/hyperlink" Target="http://www.guidedogsqld.com.au/" TargetMode="External"/><Relationship Id="rId10" Type="http://schemas.openxmlformats.org/officeDocument/2006/relationships/hyperlink" Target="http://www.blindsportssa.org.a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bca.org.au/" TargetMode="External"/><Relationship Id="rId14" Type="http://schemas.openxmlformats.org/officeDocument/2006/relationships/hyperlink" Target="http://www.guidedogs.com.au/"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ordpress.bca.org.au/polocy/" TargetMode="External"/><Relationship Id="rId2" Type="http://schemas.openxmlformats.org/officeDocument/2006/relationships/hyperlink" Target="http://www.australianblindnessforum.org.au/Committees/Employment/Employers.html" TargetMode="External"/><Relationship Id="rId1" Type="http://schemas.openxmlformats.org/officeDocument/2006/relationships/hyperlink" Target="http://wordpress.bca.org.au/polocy/" TargetMode="External"/><Relationship Id="rId4" Type="http://schemas.openxmlformats.org/officeDocument/2006/relationships/hyperlink" Target="http://www.australianblindnessforum.org.au/Committees/Employment/EmploymentInfoPack.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71E357-AFE3-4BAD-B31A-049B59E869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2650</Words>
  <Characters>15109</Characters>
  <Application>Microsoft Office Word</Application>
  <DocSecurity>4</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ABF</dc:creator>
  <cp:keywords/>
  <dc:description/>
  <cp:lastModifiedBy>Jessica West</cp:lastModifiedBy>
  <cp:revision>2</cp:revision>
  <dcterms:created xsi:type="dcterms:W3CDTF">2019-11-13T01:29:00Z</dcterms:created>
  <dcterms:modified xsi:type="dcterms:W3CDTF">2019-11-13T01:29:00Z</dcterms:modified>
</cp:coreProperties>
</file>