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799F9" w14:textId="77777777" w:rsidR="00007607" w:rsidRDefault="00007607" w:rsidP="00007607">
      <w:pPr>
        <w:pStyle w:val="Title"/>
        <w:spacing w:after="2000"/>
        <w:rPr>
          <w:color w:val="004B8D"/>
        </w:rPr>
      </w:pPr>
      <w:bookmarkStart w:id="0" w:name="Cover"/>
      <w:r>
        <w:rPr>
          <w:noProof/>
          <w:color w:val="004B8D"/>
          <w:lang w:eastAsia="en-AU"/>
        </w:rPr>
        <w:drawing>
          <wp:inline distT="0" distB="0" distL="0" distR="0" wp14:anchorId="2963B29C" wp14:editId="70C7D42D">
            <wp:extent cx="2074460" cy="1349734"/>
            <wp:effectExtent l="0" t="0" r="2540" b="3175"/>
            <wp:docPr id="1" name="Picture 1" descr="Vision 2020 The Right to Sight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cmyk.jpg"/>
                    <pic:cNvPicPr/>
                  </pic:nvPicPr>
                  <pic:blipFill>
                    <a:blip r:embed="rId8"/>
                    <a:stretch>
                      <a:fillRect/>
                    </a:stretch>
                  </pic:blipFill>
                  <pic:spPr>
                    <a:xfrm>
                      <a:off x="0" y="0"/>
                      <a:ext cx="2082184" cy="1354759"/>
                    </a:xfrm>
                    <a:prstGeom prst="rect">
                      <a:avLst/>
                    </a:prstGeom>
                  </pic:spPr>
                </pic:pic>
              </a:graphicData>
            </a:graphic>
          </wp:inline>
        </w:drawing>
      </w:r>
    </w:p>
    <w:sdt>
      <w:sdt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EndPr/>
      <w:sdtContent>
        <w:p w14:paraId="6EBAD459" w14:textId="77777777" w:rsidR="00007607" w:rsidRPr="00007607" w:rsidRDefault="00DF7D13" w:rsidP="00007607">
          <w:pPr>
            <w:pStyle w:val="Title"/>
            <w:jc w:val="left"/>
          </w:pPr>
          <w:r>
            <w:t>2020-21 Pre-Budget Submission</w:t>
          </w:r>
        </w:p>
      </w:sdtContent>
    </w:sdt>
    <w:p w14:paraId="107153F2" w14:textId="77777777" w:rsidR="00007607" w:rsidRPr="00775CD0" w:rsidRDefault="005C2310" w:rsidP="00007607">
      <w:pPr>
        <w:pStyle w:val="Subtitle"/>
        <w:jc w:val="left"/>
        <w:rPr>
          <w:sz w:val="44"/>
          <w:szCs w:val="44"/>
        </w:rPr>
      </w:pPr>
      <w:r w:rsidRPr="00775CD0">
        <w:rPr>
          <w:sz w:val="44"/>
          <w:szCs w:val="44"/>
        </w:rPr>
        <w:t>December 2019</w:t>
      </w:r>
    </w:p>
    <w:p w14:paraId="66AE16E5" w14:textId="77777777" w:rsidR="00706376" w:rsidRPr="006C3975" w:rsidRDefault="00007607" w:rsidP="00007607">
      <w:pPr>
        <w:pStyle w:val="Subtitle"/>
        <w:rPr>
          <w:color w:val="FFFFFF" w:themeColor="background1"/>
        </w:rPr>
      </w:pPr>
      <w:r w:rsidRPr="006C3975">
        <w:rPr>
          <w:color w:val="FFFFFF" w:themeColor="background1"/>
        </w:rPr>
        <w:t xml:space="preserve"> </w:t>
      </w:r>
      <w:r w:rsidR="006759F6" w:rsidRPr="006C3975">
        <w:rPr>
          <w:color w:val="FFFFFF" w:themeColor="background1"/>
        </w:rPr>
        <w:t>[Subtitle]</w:t>
      </w:r>
    </w:p>
    <w:p w14:paraId="3FB140EF"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0E14E054" w14:textId="77777777" w:rsidR="002A590E" w:rsidRPr="003A754B" w:rsidRDefault="002A590E" w:rsidP="003A754B">
      <w:pPr>
        <w:pStyle w:val="Footer"/>
        <w:ind w:left="-113" w:right="-113"/>
        <w:rPr>
          <w:sz w:val="28"/>
          <w:szCs w:val="24"/>
        </w:rPr>
      </w:pPr>
    </w:p>
    <w:p w14:paraId="51EE9F47" w14:textId="77777777" w:rsidR="00007607" w:rsidRDefault="00007607" w:rsidP="00817D6F">
      <w:pPr>
        <w:pStyle w:val="BodyText"/>
        <w:sectPr w:rsidR="00007607" w:rsidSect="00007607">
          <w:footerReference w:type="first" r:id="rId9"/>
          <w:pgSz w:w="11906" w:h="16838" w:code="9"/>
          <w:pgMar w:top="567" w:right="1134" w:bottom="425" w:left="1134" w:header="369" w:footer="635" w:gutter="0"/>
          <w:pgNumType w:start="0"/>
          <w:cols w:space="708"/>
          <w:titlePg/>
          <w:docGrid w:linePitch="360"/>
        </w:sectPr>
      </w:pPr>
    </w:p>
    <w:p w14:paraId="4A613970" w14:textId="77777777" w:rsidR="009E3BCF" w:rsidRDefault="009E3BCF" w:rsidP="009E3BCF">
      <w:pPr>
        <w:pStyle w:val="TOCHeading"/>
      </w:pPr>
      <w:r>
        <w:lastRenderedPageBreak/>
        <w:t>Contents</w:t>
      </w:r>
    </w:p>
    <w:p w14:paraId="0EE564F1" w14:textId="2724C51B" w:rsidR="00E47228" w:rsidRDefault="00AA7024">
      <w:pPr>
        <w:pStyle w:val="TOC1"/>
        <w:rPr>
          <w:rFonts w:eastAsiaTheme="minorEastAsia"/>
          <w:b w:val="0"/>
          <w:sz w:val="22"/>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27475922" w:history="1">
        <w:r w:rsidR="00E47228" w:rsidRPr="00DD68E2">
          <w:rPr>
            <w:rStyle w:val="Hyperlink"/>
          </w:rPr>
          <w:t>About Vision 2020 Australia</w:t>
        </w:r>
        <w:r w:rsidR="00E47228">
          <w:rPr>
            <w:webHidden/>
          </w:rPr>
          <w:tab/>
        </w:r>
        <w:r w:rsidR="00E47228">
          <w:rPr>
            <w:webHidden/>
          </w:rPr>
          <w:fldChar w:fldCharType="begin"/>
        </w:r>
        <w:r w:rsidR="00E47228">
          <w:rPr>
            <w:webHidden/>
          </w:rPr>
          <w:instrText xml:space="preserve"> PAGEREF _Toc27475922 \h </w:instrText>
        </w:r>
        <w:r w:rsidR="00E47228">
          <w:rPr>
            <w:webHidden/>
          </w:rPr>
        </w:r>
        <w:r w:rsidR="00E47228">
          <w:rPr>
            <w:webHidden/>
          </w:rPr>
          <w:fldChar w:fldCharType="separate"/>
        </w:r>
        <w:r w:rsidR="0061078A">
          <w:rPr>
            <w:webHidden/>
          </w:rPr>
          <w:t>2</w:t>
        </w:r>
        <w:r w:rsidR="00E47228">
          <w:rPr>
            <w:webHidden/>
          </w:rPr>
          <w:fldChar w:fldCharType="end"/>
        </w:r>
      </w:hyperlink>
    </w:p>
    <w:p w14:paraId="115E3092" w14:textId="46EF6FDD" w:rsidR="00E47228" w:rsidRDefault="0061078A">
      <w:pPr>
        <w:pStyle w:val="TOC1"/>
        <w:rPr>
          <w:rFonts w:eastAsiaTheme="minorEastAsia"/>
          <w:b w:val="0"/>
          <w:sz w:val="22"/>
          <w:lang w:eastAsia="en-AU"/>
        </w:rPr>
      </w:pPr>
      <w:hyperlink w:anchor="_Toc27475923" w:history="1">
        <w:r w:rsidR="00E47228" w:rsidRPr="00DD68E2">
          <w:rPr>
            <w:rStyle w:val="Hyperlink"/>
          </w:rPr>
          <w:t>Executive Summary</w:t>
        </w:r>
        <w:r w:rsidR="00E47228">
          <w:rPr>
            <w:webHidden/>
          </w:rPr>
          <w:tab/>
        </w:r>
        <w:r w:rsidR="00E47228">
          <w:rPr>
            <w:webHidden/>
          </w:rPr>
          <w:fldChar w:fldCharType="begin"/>
        </w:r>
        <w:r w:rsidR="00E47228">
          <w:rPr>
            <w:webHidden/>
          </w:rPr>
          <w:instrText xml:space="preserve"> PAGEREF _Toc27475923 \h </w:instrText>
        </w:r>
        <w:r w:rsidR="00E47228">
          <w:rPr>
            <w:webHidden/>
          </w:rPr>
        </w:r>
        <w:r w:rsidR="00E47228">
          <w:rPr>
            <w:webHidden/>
          </w:rPr>
          <w:fldChar w:fldCharType="separate"/>
        </w:r>
        <w:r>
          <w:rPr>
            <w:webHidden/>
          </w:rPr>
          <w:t>3</w:t>
        </w:r>
        <w:r w:rsidR="00E47228">
          <w:rPr>
            <w:webHidden/>
          </w:rPr>
          <w:fldChar w:fldCharType="end"/>
        </w:r>
      </w:hyperlink>
    </w:p>
    <w:p w14:paraId="6579FB4C" w14:textId="148327F0" w:rsidR="00E47228" w:rsidRDefault="0061078A">
      <w:pPr>
        <w:pStyle w:val="TOC1"/>
        <w:rPr>
          <w:rFonts w:eastAsiaTheme="minorEastAsia"/>
          <w:b w:val="0"/>
          <w:sz w:val="22"/>
          <w:lang w:eastAsia="en-AU"/>
        </w:rPr>
      </w:pPr>
      <w:hyperlink w:anchor="_Toc27475924" w:history="1">
        <w:r w:rsidR="00E47228" w:rsidRPr="00DD68E2">
          <w:rPr>
            <w:rStyle w:val="Hyperlink"/>
          </w:rPr>
          <w:t>Summary of priorities for investment</w:t>
        </w:r>
        <w:r w:rsidR="00E47228">
          <w:rPr>
            <w:webHidden/>
          </w:rPr>
          <w:tab/>
        </w:r>
        <w:r w:rsidR="00E47228">
          <w:rPr>
            <w:webHidden/>
          </w:rPr>
          <w:fldChar w:fldCharType="begin"/>
        </w:r>
        <w:r w:rsidR="00E47228">
          <w:rPr>
            <w:webHidden/>
          </w:rPr>
          <w:instrText xml:space="preserve"> PAGEREF _Toc27475924 \h </w:instrText>
        </w:r>
        <w:r w:rsidR="00E47228">
          <w:rPr>
            <w:webHidden/>
          </w:rPr>
        </w:r>
        <w:r w:rsidR="00E47228">
          <w:rPr>
            <w:webHidden/>
          </w:rPr>
          <w:fldChar w:fldCharType="separate"/>
        </w:r>
        <w:r>
          <w:rPr>
            <w:webHidden/>
          </w:rPr>
          <w:t>4</w:t>
        </w:r>
        <w:r w:rsidR="00E47228">
          <w:rPr>
            <w:webHidden/>
          </w:rPr>
          <w:fldChar w:fldCharType="end"/>
        </w:r>
      </w:hyperlink>
    </w:p>
    <w:p w14:paraId="13AA7D89" w14:textId="409A80FA" w:rsidR="00E47228" w:rsidRDefault="0061078A">
      <w:pPr>
        <w:pStyle w:val="TOC4"/>
        <w:rPr>
          <w:rFonts w:eastAsiaTheme="minorEastAsia"/>
          <w:b w:val="0"/>
          <w:sz w:val="22"/>
          <w:lang w:eastAsia="en-AU"/>
        </w:rPr>
      </w:pPr>
      <w:hyperlink w:anchor="_Toc27475925" w:history="1">
        <w:r w:rsidR="00E47228" w:rsidRPr="00DD68E2">
          <w:rPr>
            <w:rStyle w:val="Hyperlink"/>
          </w:rPr>
          <w:t>Budget priorities for 2020-21</w:t>
        </w:r>
        <w:r w:rsidR="00E47228">
          <w:rPr>
            <w:webHidden/>
          </w:rPr>
          <w:tab/>
        </w:r>
        <w:r w:rsidR="00E47228">
          <w:rPr>
            <w:webHidden/>
          </w:rPr>
          <w:fldChar w:fldCharType="begin"/>
        </w:r>
        <w:r w:rsidR="00E47228">
          <w:rPr>
            <w:webHidden/>
          </w:rPr>
          <w:instrText xml:space="preserve"> PAGEREF _Toc27475925 \h </w:instrText>
        </w:r>
        <w:r w:rsidR="00E47228">
          <w:rPr>
            <w:webHidden/>
          </w:rPr>
        </w:r>
        <w:r w:rsidR="00E47228">
          <w:rPr>
            <w:webHidden/>
          </w:rPr>
          <w:fldChar w:fldCharType="separate"/>
        </w:r>
        <w:r>
          <w:rPr>
            <w:webHidden/>
          </w:rPr>
          <w:t>5</w:t>
        </w:r>
        <w:r w:rsidR="00E47228">
          <w:rPr>
            <w:webHidden/>
          </w:rPr>
          <w:fldChar w:fldCharType="end"/>
        </w:r>
      </w:hyperlink>
    </w:p>
    <w:p w14:paraId="0E9EABF7" w14:textId="3D807C0D" w:rsidR="00E47228" w:rsidRDefault="0061078A">
      <w:pPr>
        <w:pStyle w:val="TOC2"/>
        <w:rPr>
          <w:rFonts w:eastAsiaTheme="minorEastAsia"/>
          <w:sz w:val="22"/>
          <w:lang w:eastAsia="en-AU"/>
        </w:rPr>
      </w:pPr>
      <w:hyperlink w:anchor="_Toc27475926" w:history="1">
        <w:r w:rsidR="00E47228" w:rsidRPr="00DD68E2">
          <w:rPr>
            <w:rStyle w:val="Hyperlink"/>
          </w:rPr>
          <w:t>End avoidable blindness in Aboriginal and Torres Strait Islander communities</w:t>
        </w:r>
        <w:r w:rsidR="00E47228">
          <w:rPr>
            <w:webHidden/>
          </w:rPr>
          <w:tab/>
        </w:r>
        <w:r w:rsidR="00E47228">
          <w:rPr>
            <w:webHidden/>
          </w:rPr>
          <w:fldChar w:fldCharType="begin"/>
        </w:r>
        <w:r w:rsidR="00E47228">
          <w:rPr>
            <w:webHidden/>
          </w:rPr>
          <w:instrText xml:space="preserve"> PAGEREF _Toc27475926 \h </w:instrText>
        </w:r>
        <w:r w:rsidR="00E47228">
          <w:rPr>
            <w:webHidden/>
          </w:rPr>
        </w:r>
        <w:r w:rsidR="00E47228">
          <w:rPr>
            <w:webHidden/>
          </w:rPr>
          <w:fldChar w:fldCharType="separate"/>
        </w:r>
        <w:r>
          <w:rPr>
            <w:webHidden/>
          </w:rPr>
          <w:t>5</w:t>
        </w:r>
        <w:r w:rsidR="00E47228">
          <w:rPr>
            <w:webHidden/>
          </w:rPr>
          <w:fldChar w:fldCharType="end"/>
        </w:r>
      </w:hyperlink>
    </w:p>
    <w:p w14:paraId="7837E93C" w14:textId="4A0182F4" w:rsidR="00E47228" w:rsidRDefault="0061078A">
      <w:pPr>
        <w:pStyle w:val="TOC2"/>
        <w:rPr>
          <w:rFonts w:eastAsiaTheme="minorEastAsia"/>
          <w:sz w:val="22"/>
          <w:lang w:eastAsia="en-AU"/>
        </w:rPr>
      </w:pPr>
      <w:hyperlink w:anchor="_Toc27475927" w:history="1">
        <w:r w:rsidR="00E47228" w:rsidRPr="00DD68E2">
          <w:rPr>
            <w:rStyle w:val="Hyperlink"/>
          </w:rPr>
          <w:t>Improve access to assistive technology for people who are blind or have low vision</w:t>
        </w:r>
        <w:r w:rsidR="00E47228">
          <w:rPr>
            <w:webHidden/>
          </w:rPr>
          <w:tab/>
        </w:r>
        <w:r w:rsidR="00E47228">
          <w:rPr>
            <w:webHidden/>
          </w:rPr>
          <w:fldChar w:fldCharType="begin"/>
        </w:r>
        <w:r w:rsidR="00E47228">
          <w:rPr>
            <w:webHidden/>
          </w:rPr>
          <w:instrText xml:space="preserve"> PAGEREF _Toc27475927 \h </w:instrText>
        </w:r>
        <w:r w:rsidR="00E47228">
          <w:rPr>
            <w:webHidden/>
          </w:rPr>
        </w:r>
        <w:r w:rsidR="00E47228">
          <w:rPr>
            <w:webHidden/>
          </w:rPr>
          <w:fldChar w:fldCharType="separate"/>
        </w:r>
        <w:r>
          <w:rPr>
            <w:webHidden/>
          </w:rPr>
          <w:t>7</w:t>
        </w:r>
        <w:r w:rsidR="00E47228">
          <w:rPr>
            <w:webHidden/>
          </w:rPr>
          <w:fldChar w:fldCharType="end"/>
        </w:r>
      </w:hyperlink>
    </w:p>
    <w:p w14:paraId="13FBA014" w14:textId="0A001CF3" w:rsidR="00E47228" w:rsidRDefault="0061078A">
      <w:pPr>
        <w:pStyle w:val="TOC2"/>
        <w:rPr>
          <w:rFonts w:eastAsiaTheme="minorEastAsia"/>
          <w:sz w:val="22"/>
          <w:lang w:eastAsia="en-AU"/>
        </w:rPr>
      </w:pPr>
      <w:hyperlink w:anchor="_Toc27475928" w:history="1">
        <w:r w:rsidR="00E47228" w:rsidRPr="00DD68E2">
          <w:rPr>
            <w:rStyle w:val="Hyperlink"/>
          </w:rPr>
          <w:t>Fund a second National Eye Health Survey</w:t>
        </w:r>
        <w:r w:rsidR="00E47228">
          <w:rPr>
            <w:webHidden/>
          </w:rPr>
          <w:tab/>
        </w:r>
        <w:r w:rsidR="00E47228">
          <w:rPr>
            <w:webHidden/>
          </w:rPr>
          <w:fldChar w:fldCharType="begin"/>
        </w:r>
        <w:r w:rsidR="00E47228">
          <w:rPr>
            <w:webHidden/>
          </w:rPr>
          <w:instrText xml:space="preserve"> PAGEREF _Toc27475928 \h </w:instrText>
        </w:r>
        <w:r w:rsidR="00E47228">
          <w:rPr>
            <w:webHidden/>
          </w:rPr>
        </w:r>
        <w:r w:rsidR="00E47228">
          <w:rPr>
            <w:webHidden/>
          </w:rPr>
          <w:fldChar w:fldCharType="separate"/>
        </w:r>
        <w:r>
          <w:rPr>
            <w:webHidden/>
          </w:rPr>
          <w:t>8</w:t>
        </w:r>
        <w:r w:rsidR="00E47228">
          <w:rPr>
            <w:webHidden/>
          </w:rPr>
          <w:fldChar w:fldCharType="end"/>
        </w:r>
      </w:hyperlink>
    </w:p>
    <w:p w14:paraId="3738EDB7" w14:textId="1C333EB5" w:rsidR="00E47228" w:rsidRDefault="0061078A">
      <w:pPr>
        <w:pStyle w:val="TOC2"/>
        <w:rPr>
          <w:rFonts w:eastAsiaTheme="minorEastAsia"/>
          <w:sz w:val="22"/>
          <w:lang w:eastAsia="en-AU"/>
        </w:rPr>
      </w:pPr>
      <w:hyperlink w:anchor="_Toc27475929" w:history="1">
        <w:r w:rsidR="00E47228" w:rsidRPr="00DD68E2">
          <w:rPr>
            <w:rStyle w:val="Hyperlink"/>
          </w:rPr>
          <w:t>Getting to 2020 – tackling blindness in PNG</w:t>
        </w:r>
        <w:r w:rsidR="00E47228">
          <w:rPr>
            <w:webHidden/>
          </w:rPr>
          <w:tab/>
        </w:r>
        <w:r w:rsidR="00E47228">
          <w:rPr>
            <w:webHidden/>
          </w:rPr>
          <w:fldChar w:fldCharType="begin"/>
        </w:r>
        <w:r w:rsidR="00E47228">
          <w:rPr>
            <w:webHidden/>
          </w:rPr>
          <w:instrText xml:space="preserve"> PAGEREF _Toc27475929 \h </w:instrText>
        </w:r>
        <w:r w:rsidR="00E47228">
          <w:rPr>
            <w:webHidden/>
          </w:rPr>
        </w:r>
        <w:r w:rsidR="00E47228">
          <w:rPr>
            <w:webHidden/>
          </w:rPr>
          <w:fldChar w:fldCharType="separate"/>
        </w:r>
        <w:r>
          <w:rPr>
            <w:webHidden/>
          </w:rPr>
          <w:t>9</w:t>
        </w:r>
        <w:r w:rsidR="00E47228">
          <w:rPr>
            <w:webHidden/>
          </w:rPr>
          <w:fldChar w:fldCharType="end"/>
        </w:r>
      </w:hyperlink>
    </w:p>
    <w:p w14:paraId="1E046624" w14:textId="1CFADCF2" w:rsidR="00E47228" w:rsidRDefault="0061078A">
      <w:pPr>
        <w:pStyle w:val="TOC2"/>
        <w:rPr>
          <w:rFonts w:eastAsiaTheme="minorEastAsia"/>
          <w:sz w:val="22"/>
          <w:lang w:eastAsia="en-AU"/>
        </w:rPr>
      </w:pPr>
      <w:hyperlink w:anchor="_Toc27475930" w:history="1">
        <w:r w:rsidR="00E47228" w:rsidRPr="00DD68E2">
          <w:rPr>
            <w:rStyle w:val="Hyperlink"/>
          </w:rPr>
          <w:t>Extend support for KeepSight</w:t>
        </w:r>
        <w:r w:rsidR="00E47228">
          <w:rPr>
            <w:webHidden/>
          </w:rPr>
          <w:tab/>
        </w:r>
        <w:r w:rsidR="00E47228">
          <w:rPr>
            <w:webHidden/>
          </w:rPr>
          <w:fldChar w:fldCharType="begin"/>
        </w:r>
        <w:r w:rsidR="00E47228">
          <w:rPr>
            <w:webHidden/>
          </w:rPr>
          <w:instrText xml:space="preserve"> PAGEREF _Toc27475930 \h </w:instrText>
        </w:r>
        <w:r w:rsidR="00E47228">
          <w:rPr>
            <w:webHidden/>
          </w:rPr>
        </w:r>
        <w:r w:rsidR="00E47228">
          <w:rPr>
            <w:webHidden/>
          </w:rPr>
          <w:fldChar w:fldCharType="separate"/>
        </w:r>
        <w:r>
          <w:rPr>
            <w:webHidden/>
          </w:rPr>
          <w:t>12</w:t>
        </w:r>
        <w:r w:rsidR="00E47228">
          <w:rPr>
            <w:webHidden/>
          </w:rPr>
          <w:fldChar w:fldCharType="end"/>
        </w:r>
      </w:hyperlink>
    </w:p>
    <w:p w14:paraId="29CF32B2" w14:textId="5A14C372" w:rsidR="00E47228" w:rsidRDefault="0061078A">
      <w:pPr>
        <w:pStyle w:val="TOC1"/>
        <w:rPr>
          <w:rFonts w:eastAsiaTheme="minorEastAsia"/>
          <w:b w:val="0"/>
          <w:sz w:val="22"/>
          <w:lang w:eastAsia="en-AU"/>
        </w:rPr>
      </w:pPr>
      <w:hyperlink w:anchor="_Toc27475931" w:history="1">
        <w:r w:rsidR="00E47228" w:rsidRPr="00DD68E2">
          <w:rPr>
            <w:rStyle w:val="Hyperlink"/>
          </w:rPr>
          <w:t>Summary budget</w:t>
        </w:r>
        <w:r w:rsidR="00E47228">
          <w:rPr>
            <w:webHidden/>
          </w:rPr>
          <w:tab/>
        </w:r>
        <w:r w:rsidR="00E47228">
          <w:rPr>
            <w:webHidden/>
          </w:rPr>
          <w:fldChar w:fldCharType="begin"/>
        </w:r>
        <w:r w:rsidR="00E47228">
          <w:rPr>
            <w:webHidden/>
          </w:rPr>
          <w:instrText xml:space="preserve"> PAGEREF _Toc27475931 \h </w:instrText>
        </w:r>
        <w:r w:rsidR="00E47228">
          <w:rPr>
            <w:webHidden/>
          </w:rPr>
        </w:r>
        <w:r w:rsidR="00E47228">
          <w:rPr>
            <w:webHidden/>
          </w:rPr>
          <w:fldChar w:fldCharType="separate"/>
        </w:r>
        <w:r>
          <w:rPr>
            <w:webHidden/>
          </w:rPr>
          <w:t>13</w:t>
        </w:r>
        <w:r w:rsidR="00E47228">
          <w:rPr>
            <w:webHidden/>
          </w:rPr>
          <w:fldChar w:fldCharType="end"/>
        </w:r>
      </w:hyperlink>
    </w:p>
    <w:p w14:paraId="0CD8924F" w14:textId="77777777" w:rsidR="009E3BCF" w:rsidRPr="006759F6" w:rsidRDefault="00AA7024" w:rsidP="006759F6">
      <w:r>
        <w:rPr>
          <w:noProof/>
          <w:lang w:eastAsia="en-AU"/>
        </w:rPr>
        <w:fldChar w:fldCharType="end"/>
      </w:r>
    </w:p>
    <w:p w14:paraId="6B71AAA7" w14:textId="77777777" w:rsidR="00DF7D13" w:rsidRDefault="00DF7D13">
      <w:pPr>
        <w:spacing w:before="80" w:after="80"/>
        <w:rPr>
          <w:rFonts w:asciiTheme="majorHAnsi" w:eastAsia="Times New Roman" w:hAnsiTheme="majorHAnsi" w:cs="Arial"/>
          <w:bCs/>
          <w:color w:val="004B8D" w:themeColor="accent1"/>
          <w:kern w:val="32"/>
          <w:sz w:val="36"/>
          <w:szCs w:val="32"/>
          <w:lang w:eastAsia="en-AU"/>
        </w:rPr>
      </w:pPr>
      <w:r>
        <w:br w:type="page"/>
      </w:r>
    </w:p>
    <w:p w14:paraId="02ACAD3A" w14:textId="77777777" w:rsidR="00DF7D13" w:rsidRDefault="00DF7D13" w:rsidP="00F85E41">
      <w:pPr>
        <w:pStyle w:val="Heading1"/>
      </w:pPr>
      <w:bookmarkStart w:id="1" w:name="_Toc27475922"/>
      <w:r>
        <w:lastRenderedPageBreak/>
        <w:t>About Vision 2020 Australia</w:t>
      </w:r>
      <w:bookmarkEnd w:id="1"/>
    </w:p>
    <w:p w14:paraId="357E348E" w14:textId="77777777" w:rsidR="00DF7D13" w:rsidRDefault="00DF7D13" w:rsidP="00DF7D13">
      <w:pPr>
        <w:pStyle w:val="BodyText"/>
      </w:pPr>
      <w:r>
        <w:t>Vision 2020 Australia is the national peak body for the eye health and vision care sector.</w:t>
      </w:r>
    </w:p>
    <w:p w14:paraId="45B3050D" w14:textId="77777777" w:rsidR="00DF7D13" w:rsidRDefault="00701F42" w:rsidP="00DF7D13">
      <w:pPr>
        <w:pStyle w:val="BodyText"/>
      </w:pPr>
      <w:r>
        <w:t>It</w:t>
      </w:r>
      <w:r w:rsidR="00DF7D13">
        <w:t xml:space="preserve"> represents almost </w:t>
      </w:r>
      <w:proofErr w:type="gramStart"/>
      <w:r w:rsidR="00DF7D13">
        <w:t>50 member</w:t>
      </w:r>
      <w:proofErr w:type="gramEnd"/>
      <w:r w:rsidR="00DF7D13">
        <w:t xml:space="preserve"> organisations involved in local and global eye health and vision care, health promotion, low vision support, vision rehabilitation, eye research, professional assistance and community support.</w:t>
      </w:r>
      <w:r w:rsidR="00CE73B8">
        <w:t xml:space="preserve"> </w:t>
      </w:r>
    </w:p>
    <w:p w14:paraId="7FD5AFEA" w14:textId="77777777" w:rsidR="00DF7D13" w:rsidRDefault="00DF7D13" w:rsidP="00DF7D13">
      <w:pPr>
        <w:pStyle w:val="BodyText"/>
      </w:pPr>
      <w:r>
        <w:t xml:space="preserve">A range of Vision 2020 Australia members are making submissions to the annual budget process. Vision 2020 Australia supports these and the efforts of all members to reduce preventable blindness and improve opportunities for participation of people who are blind or vision impaired. </w:t>
      </w:r>
    </w:p>
    <w:p w14:paraId="43CAAF4D" w14:textId="77777777" w:rsidR="00DF7D13" w:rsidRDefault="00DF7D13" w:rsidP="00DF7D13">
      <w:pPr>
        <w:pStyle w:val="BodyText"/>
      </w:pPr>
      <w:r>
        <w:t>The proposals in this Vision 2020 Australia submission have been developed to complement those being proposed by individual members.</w:t>
      </w:r>
    </w:p>
    <w:p w14:paraId="51B3EA39" w14:textId="77777777" w:rsidR="00DF7D13" w:rsidRDefault="00DF7D13" w:rsidP="00DF7D13">
      <w:pPr>
        <w:pStyle w:val="BodyText"/>
      </w:pPr>
    </w:p>
    <w:p w14:paraId="7E2D70F5" w14:textId="77777777" w:rsidR="00DF7D13" w:rsidRDefault="00DF7D13" w:rsidP="00DF7D13">
      <w:pPr>
        <w:pStyle w:val="Heading3"/>
      </w:pPr>
      <w:r>
        <w:t>For further information regarding this submission:</w:t>
      </w:r>
    </w:p>
    <w:p w14:paraId="3053688E" w14:textId="77777777" w:rsidR="00DF7D13" w:rsidRPr="00DF7D13" w:rsidRDefault="00DF7D13" w:rsidP="00DF7D13">
      <w:pPr>
        <w:pStyle w:val="BodyText"/>
      </w:pPr>
      <w:r>
        <w:t>Ms Judith Abbott</w:t>
      </w:r>
      <w:r>
        <w:br/>
        <w:t>Chief Executive Officer</w:t>
      </w:r>
      <w:r>
        <w:br/>
        <w:t>Vision 2020 Australia</w:t>
      </w:r>
      <w:r>
        <w:br/>
        <w:t>T: 0</w:t>
      </w:r>
      <w:r w:rsidR="00CE73B8">
        <w:t>3 9656 2020</w:t>
      </w:r>
      <w:r>
        <w:br/>
        <w:t>E: ceo@vision2020australia.org.au</w:t>
      </w:r>
    </w:p>
    <w:p w14:paraId="0ADEEBAD" w14:textId="77777777" w:rsidR="00F85E41" w:rsidRDefault="00F85E41" w:rsidP="00F85E41">
      <w:pPr>
        <w:pStyle w:val="Heading1"/>
      </w:pPr>
      <w:bookmarkStart w:id="2" w:name="_Toc27475923"/>
      <w:r>
        <w:lastRenderedPageBreak/>
        <w:t>Executive Summary</w:t>
      </w:r>
      <w:bookmarkEnd w:id="2"/>
    </w:p>
    <w:p w14:paraId="25040864" w14:textId="77777777" w:rsidR="002B1C4E" w:rsidRDefault="002B1C4E" w:rsidP="00DF7D13">
      <w:pPr>
        <w:pStyle w:val="BodyText"/>
      </w:pPr>
      <w:r>
        <w:t xml:space="preserve">2020 is </w:t>
      </w:r>
      <w:r w:rsidR="005346C3">
        <w:t>a unique</w:t>
      </w:r>
      <w:r>
        <w:t xml:space="preserve"> year to raise awareness of the importance of good eye and vision care and invest in initiatives that </w:t>
      </w:r>
      <w:r w:rsidR="005346C3">
        <w:t xml:space="preserve">can transform the eye health and vision of Australia and its neighbours. </w:t>
      </w:r>
    </w:p>
    <w:p w14:paraId="26C2B52D" w14:textId="77777777" w:rsidR="00DF7D13" w:rsidRDefault="00701F42" w:rsidP="00DF7D13">
      <w:pPr>
        <w:pStyle w:val="BodyText"/>
      </w:pPr>
      <w:r>
        <w:t>There are currently over 450,000 Australians living with blindness or vision loss, and estimates suggest that without intervention, these numbers could almost double by 2030</w:t>
      </w:r>
      <w:r w:rsidR="005346C3">
        <w:t>. Some of the key challenges faced in this area include:</w:t>
      </w:r>
    </w:p>
    <w:p w14:paraId="16AD58D1" w14:textId="77777777" w:rsidR="00DF7D13" w:rsidRPr="005147D7" w:rsidRDefault="00DF7D13" w:rsidP="00DF7D13">
      <w:pPr>
        <w:pStyle w:val="ListBullet0"/>
        <w:rPr>
          <w:sz w:val="22"/>
          <w:szCs w:val="22"/>
        </w:rPr>
      </w:pPr>
      <w:r w:rsidRPr="005147D7">
        <w:rPr>
          <w:sz w:val="22"/>
          <w:szCs w:val="22"/>
        </w:rPr>
        <w:t>Aboriginal and Torres Strait Islander people experience vision loss at three times the rate of non-Indigenous Australians</w:t>
      </w:r>
      <w:r w:rsidR="0074017F">
        <w:rPr>
          <w:sz w:val="22"/>
          <w:szCs w:val="22"/>
        </w:rPr>
        <w:t>.</w:t>
      </w:r>
    </w:p>
    <w:p w14:paraId="1334F8C2" w14:textId="77777777" w:rsidR="00DF7D13" w:rsidRPr="005147D7" w:rsidRDefault="00DF7D13" w:rsidP="00DF7D13">
      <w:pPr>
        <w:pStyle w:val="ListBullet0"/>
        <w:rPr>
          <w:sz w:val="22"/>
          <w:szCs w:val="22"/>
        </w:rPr>
      </w:pPr>
      <w:r w:rsidRPr="005147D7">
        <w:rPr>
          <w:sz w:val="22"/>
          <w:szCs w:val="22"/>
        </w:rPr>
        <w:t>Rates of diabetes are rising</w:t>
      </w:r>
      <w:r w:rsidR="00BA30CE" w:rsidRPr="005147D7">
        <w:rPr>
          <w:sz w:val="22"/>
          <w:szCs w:val="22"/>
        </w:rPr>
        <w:t xml:space="preserve">. While diabetes can cause </w:t>
      </w:r>
      <w:r w:rsidRPr="005147D7">
        <w:rPr>
          <w:sz w:val="22"/>
          <w:szCs w:val="22"/>
        </w:rPr>
        <w:t>permanent vision loss, this is almost entirely preventable or treatable if identified early</w:t>
      </w:r>
      <w:r w:rsidR="0074017F">
        <w:rPr>
          <w:sz w:val="22"/>
          <w:szCs w:val="22"/>
        </w:rPr>
        <w:t>.</w:t>
      </w:r>
    </w:p>
    <w:p w14:paraId="7237F21B" w14:textId="77777777" w:rsidR="00DF7D13" w:rsidRPr="005147D7" w:rsidRDefault="00DF7D13" w:rsidP="00DF7D13">
      <w:pPr>
        <w:pStyle w:val="ListBullet0"/>
        <w:rPr>
          <w:sz w:val="22"/>
          <w:szCs w:val="22"/>
        </w:rPr>
      </w:pPr>
      <w:r w:rsidRPr="005147D7">
        <w:rPr>
          <w:sz w:val="22"/>
          <w:szCs w:val="22"/>
        </w:rPr>
        <w:t>People who are blind or vision impaired continue to experience barriers when accessing the services and supports they need, including timely access to appropriate assistive technology</w:t>
      </w:r>
      <w:r w:rsidR="0074017F">
        <w:rPr>
          <w:sz w:val="22"/>
          <w:szCs w:val="22"/>
        </w:rPr>
        <w:t>.</w:t>
      </w:r>
    </w:p>
    <w:p w14:paraId="674FE886" w14:textId="77777777" w:rsidR="008B10F9" w:rsidRDefault="008B10F9" w:rsidP="005147D7">
      <w:pPr>
        <w:pStyle w:val="ListBullet0"/>
        <w:numPr>
          <w:ilvl w:val="0"/>
          <w:numId w:val="0"/>
        </w:numPr>
      </w:pPr>
      <w:r w:rsidRPr="005147D7">
        <w:rPr>
          <w:sz w:val="22"/>
        </w:rPr>
        <w:t>High rates of vision loss also continue to be reported across parts of the broader Indo-Pacific</w:t>
      </w:r>
      <w:r w:rsidRPr="005147D7">
        <w:rPr>
          <w:sz w:val="22"/>
          <w:vertAlign w:val="superscript"/>
        </w:rPr>
        <w:footnoteReference w:id="1"/>
      </w:r>
      <w:r w:rsidRPr="005147D7">
        <w:rPr>
          <w:sz w:val="22"/>
        </w:rPr>
        <w:t xml:space="preserve">, with one of Australia’s closest neighbours, Papua New Guinea, experiencing some </w:t>
      </w:r>
      <w:r>
        <w:rPr>
          <w:sz w:val="22"/>
        </w:rPr>
        <w:t xml:space="preserve">of </w:t>
      </w:r>
      <w:r w:rsidRPr="005147D7">
        <w:rPr>
          <w:sz w:val="22"/>
        </w:rPr>
        <w:t>the highest rates of bl</w:t>
      </w:r>
      <w:r>
        <w:rPr>
          <w:sz w:val="22"/>
        </w:rPr>
        <w:t>i</w:t>
      </w:r>
      <w:r w:rsidRPr="005147D7">
        <w:rPr>
          <w:sz w:val="22"/>
        </w:rPr>
        <w:t>ndness in the world</w:t>
      </w:r>
      <w:r>
        <w:t xml:space="preserve">. </w:t>
      </w:r>
    </w:p>
    <w:p w14:paraId="7F983A1D" w14:textId="77777777" w:rsidR="005346C3" w:rsidRDefault="005346C3" w:rsidP="005147D7">
      <w:pPr>
        <w:pStyle w:val="ListBullet0"/>
        <w:numPr>
          <w:ilvl w:val="0"/>
          <w:numId w:val="0"/>
        </w:numPr>
      </w:pPr>
      <w:r w:rsidRPr="005147D7">
        <w:rPr>
          <w:sz w:val="22"/>
        </w:rPr>
        <w:t>The total annual economic cost of vision loss in Australia is estimated to be $16.6 billion or $28,905 per person with vision loss aged over 40</w:t>
      </w:r>
      <w:r>
        <w:t>.</w:t>
      </w:r>
      <w:r>
        <w:rPr>
          <w:rStyle w:val="FootnoteReference"/>
        </w:rPr>
        <w:footnoteReference w:id="2"/>
      </w:r>
      <w:r>
        <w:t xml:space="preserve"> </w:t>
      </w:r>
    </w:p>
    <w:p w14:paraId="0DFA57C9" w14:textId="77777777" w:rsidR="005346C3" w:rsidRDefault="005346C3" w:rsidP="005147D7">
      <w:pPr>
        <w:pStyle w:val="ListBullet0"/>
        <w:numPr>
          <w:ilvl w:val="0"/>
          <w:numId w:val="0"/>
        </w:numPr>
      </w:pPr>
      <w:r w:rsidRPr="005147D7">
        <w:rPr>
          <w:sz w:val="22"/>
        </w:rPr>
        <w:t xml:space="preserve">The good news is that some 90 per cent of vision loss can be prevented through early identification and treatment. For people who have permanent vision loss, there is a range of equipment, training and advice </w:t>
      </w:r>
      <w:r w:rsidR="0074017F">
        <w:rPr>
          <w:sz w:val="22"/>
        </w:rPr>
        <w:t>which</w:t>
      </w:r>
      <w:r w:rsidRPr="005147D7">
        <w:rPr>
          <w:sz w:val="22"/>
        </w:rPr>
        <w:t xml:space="preserve"> can support them to remain independent and involved in the workforce and the community</w:t>
      </w:r>
      <w:r>
        <w:t xml:space="preserve">. </w:t>
      </w:r>
    </w:p>
    <w:p w14:paraId="58066733" w14:textId="77777777" w:rsidR="00DF7D13" w:rsidRDefault="00DF7D13" w:rsidP="00DF7D13">
      <w:pPr>
        <w:pStyle w:val="BodyText"/>
      </w:pPr>
      <w:r>
        <w:t xml:space="preserve">This </w:t>
      </w:r>
      <w:r w:rsidR="002B1C4E">
        <w:t>submission outlines priorities for eye sector</w:t>
      </w:r>
      <w:r>
        <w:t xml:space="preserve"> investment</w:t>
      </w:r>
      <w:r w:rsidR="0074017F">
        <w:t xml:space="preserve"> -</w:t>
      </w:r>
      <w:r w:rsidR="00322A8A">
        <w:t xml:space="preserve"> a number of which will support the Government to deliver on its existing commitments:</w:t>
      </w:r>
    </w:p>
    <w:p w14:paraId="08B1FDAD" w14:textId="77777777" w:rsidR="00DF7D13" w:rsidRPr="005147D7" w:rsidRDefault="00BA30CE">
      <w:pPr>
        <w:pStyle w:val="ListBullet0"/>
        <w:rPr>
          <w:sz w:val="22"/>
          <w:szCs w:val="22"/>
        </w:rPr>
      </w:pPr>
      <w:r w:rsidRPr="005147D7">
        <w:rPr>
          <w:sz w:val="22"/>
          <w:szCs w:val="22"/>
        </w:rPr>
        <w:t xml:space="preserve">End avoidable blindness in </w:t>
      </w:r>
      <w:r w:rsidR="00DF7D13" w:rsidRPr="005147D7">
        <w:rPr>
          <w:sz w:val="22"/>
          <w:szCs w:val="22"/>
        </w:rPr>
        <w:t xml:space="preserve">Aboriginal and Torres Strait Islander </w:t>
      </w:r>
      <w:r w:rsidR="00181BA7" w:rsidRPr="005147D7">
        <w:rPr>
          <w:sz w:val="22"/>
          <w:szCs w:val="22"/>
        </w:rPr>
        <w:t>communities</w:t>
      </w:r>
      <w:r w:rsidR="0074017F">
        <w:rPr>
          <w:sz w:val="22"/>
          <w:szCs w:val="22"/>
        </w:rPr>
        <w:t>.</w:t>
      </w:r>
    </w:p>
    <w:p w14:paraId="2F5D89C6" w14:textId="77777777" w:rsidR="00DF7D13" w:rsidRPr="005147D7" w:rsidRDefault="00BA30CE">
      <w:pPr>
        <w:pStyle w:val="ListBullet0"/>
        <w:rPr>
          <w:sz w:val="22"/>
          <w:szCs w:val="22"/>
        </w:rPr>
      </w:pPr>
      <w:r w:rsidRPr="005147D7">
        <w:rPr>
          <w:sz w:val="22"/>
          <w:szCs w:val="22"/>
        </w:rPr>
        <w:t>Improv</w:t>
      </w:r>
      <w:r w:rsidR="005346C3">
        <w:rPr>
          <w:sz w:val="22"/>
          <w:szCs w:val="22"/>
        </w:rPr>
        <w:t>e</w:t>
      </w:r>
      <w:r w:rsidR="00DF7D13" w:rsidRPr="005147D7">
        <w:rPr>
          <w:sz w:val="22"/>
          <w:szCs w:val="22"/>
        </w:rPr>
        <w:t xml:space="preserve"> access to assistive technologies for people who are blind or vision impaired</w:t>
      </w:r>
      <w:r w:rsidR="00CB6FF1">
        <w:rPr>
          <w:sz w:val="22"/>
          <w:szCs w:val="22"/>
        </w:rPr>
        <w:t xml:space="preserve"> and invest in cross sector research to identify how the benefits of this can be maximised</w:t>
      </w:r>
      <w:r w:rsidR="0074017F">
        <w:rPr>
          <w:sz w:val="22"/>
          <w:szCs w:val="22"/>
        </w:rPr>
        <w:t>.</w:t>
      </w:r>
    </w:p>
    <w:p w14:paraId="327B460D" w14:textId="77777777" w:rsidR="00DF7D13" w:rsidRPr="005147D7" w:rsidRDefault="00DF7D13">
      <w:pPr>
        <w:pStyle w:val="ListBullet0"/>
        <w:rPr>
          <w:sz w:val="22"/>
          <w:szCs w:val="22"/>
        </w:rPr>
      </w:pPr>
      <w:r w:rsidRPr="005147D7">
        <w:rPr>
          <w:sz w:val="22"/>
          <w:szCs w:val="22"/>
        </w:rPr>
        <w:t xml:space="preserve">Support </w:t>
      </w:r>
      <w:r w:rsidR="002B1C4E" w:rsidRPr="005147D7">
        <w:rPr>
          <w:sz w:val="22"/>
          <w:szCs w:val="22"/>
        </w:rPr>
        <w:t xml:space="preserve">a second </w:t>
      </w:r>
      <w:r w:rsidRPr="005147D7">
        <w:rPr>
          <w:sz w:val="22"/>
          <w:szCs w:val="22"/>
        </w:rPr>
        <w:t>National Eye Health Survey</w:t>
      </w:r>
      <w:r w:rsidR="0074017F">
        <w:rPr>
          <w:sz w:val="22"/>
          <w:szCs w:val="22"/>
        </w:rPr>
        <w:t>.</w:t>
      </w:r>
    </w:p>
    <w:p w14:paraId="3E3B2163" w14:textId="77777777" w:rsidR="00DF7D13" w:rsidRPr="005147D7" w:rsidRDefault="00DF7D13">
      <w:pPr>
        <w:pStyle w:val="ListBullet0"/>
        <w:rPr>
          <w:sz w:val="22"/>
          <w:szCs w:val="22"/>
        </w:rPr>
      </w:pPr>
      <w:r w:rsidRPr="005147D7">
        <w:rPr>
          <w:sz w:val="22"/>
          <w:szCs w:val="22"/>
        </w:rPr>
        <w:t>Expand investment in eye health programs in the Indo-Pacific</w:t>
      </w:r>
      <w:r w:rsidR="002B1C4E" w:rsidRPr="005147D7">
        <w:rPr>
          <w:sz w:val="22"/>
          <w:szCs w:val="22"/>
        </w:rPr>
        <w:t>, with a particular focus on Papua New Guinea</w:t>
      </w:r>
      <w:r w:rsidR="0074017F">
        <w:rPr>
          <w:sz w:val="22"/>
          <w:szCs w:val="22"/>
        </w:rPr>
        <w:t>.</w:t>
      </w:r>
    </w:p>
    <w:p w14:paraId="7D7CA36F" w14:textId="77777777" w:rsidR="00870677" w:rsidRPr="005147D7" w:rsidRDefault="002B1C4E">
      <w:pPr>
        <w:pStyle w:val="ListBullet0"/>
        <w:rPr>
          <w:sz w:val="22"/>
          <w:szCs w:val="22"/>
        </w:rPr>
      </w:pPr>
      <w:r w:rsidRPr="005147D7">
        <w:rPr>
          <w:sz w:val="22"/>
          <w:szCs w:val="22"/>
        </w:rPr>
        <w:t>Continu</w:t>
      </w:r>
      <w:r w:rsidR="005346C3">
        <w:rPr>
          <w:sz w:val="22"/>
          <w:szCs w:val="22"/>
        </w:rPr>
        <w:t>e</w:t>
      </w:r>
      <w:r w:rsidRPr="005147D7">
        <w:rPr>
          <w:sz w:val="22"/>
          <w:szCs w:val="22"/>
        </w:rPr>
        <w:t xml:space="preserve"> </w:t>
      </w:r>
      <w:r w:rsidR="00DF7D13" w:rsidRPr="005147D7">
        <w:rPr>
          <w:sz w:val="22"/>
          <w:szCs w:val="22"/>
        </w:rPr>
        <w:t>support for the KeepSight program</w:t>
      </w:r>
      <w:r w:rsidR="0074017F">
        <w:rPr>
          <w:sz w:val="22"/>
          <w:szCs w:val="22"/>
        </w:rPr>
        <w:t>.</w:t>
      </w:r>
    </w:p>
    <w:p w14:paraId="3196DCAD" w14:textId="77777777" w:rsidR="00DF7D13" w:rsidRPr="005147D7" w:rsidRDefault="00870677">
      <w:pPr>
        <w:pStyle w:val="ListBullet0"/>
        <w:rPr>
          <w:sz w:val="22"/>
          <w:szCs w:val="22"/>
        </w:rPr>
      </w:pPr>
      <w:r w:rsidRPr="005147D7">
        <w:rPr>
          <w:sz w:val="22"/>
          <w:szCs w:val="22"/>
        </w:rPr>
        <w:t>Improv</w:t>
      </w:r>
      <w:r w:rsidR="005346C3">
        <w:rPr>
          <w:sz w:val="22"/>
          <w:szCs w:val="22"/>
        </w:rPr>
        <w:t>e</w:t>
      </w:r>
      <w:r w:rsidRPr="005147D7">
        <w:rPr>
          <w:sz w:val="22"/>
          <w:szCs w:val="22"/>
        </w:rPr>
        <w:t xml:space="preserve"> public access to intravitreal injections</w:t>
      </w:r>
      <w:r w:rsidR="00DF7D13" w:rsidRPr="005147D7">
        <w:rPr>
          <w:sz w:val="22"/>
          <w:szCs w:val="22"/>
        </w:rPr>
        <w:t>.</w:t>
      </w:r>
    </w:p>
    <w:p w14:paraId="039C9C5D" w14:textId="77777777" w:rsidR="00F85E41" w:rsidRPr="00BF5ACD" w:rsidRDefault="00DF7D13" w:rsidP="009E20C7">
      <w:pPr>
        <w:pStyle w:val="Heading1"/>
      </w:pPr>
      <w:bookmarkStart w:id="3" w:name="_Toc27475924"/>
      <w:r>
        <w:lastRenderedPageBreak/>
        <w:t xml:space="preserve">Summary of </w:t>
      </w:r>
      <w:r w:rsidR="009E20C7">
        <w:t>priorities for investment</w:t>
      </w:r>
      <w:bookmarkEnd w:id="3"/>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807"/>
        <w:gridCol w:w="1513"/>
        <w:gridCol w:w="3308"/>
      </w:tblGrid>
      <w:tr w:rsidR="006721B8" w:rsidRPr="005147D7" w14:paraId="0410DC9E" w14:textId="77777777" w:rsidTr="005147D7">
        <w:tc>
          <w:tcPr>
            <w:tcW w:w="3278" w:type="pct"/>
            <w:gridSpan w:val="2"/>
            <w:shd w:val="clear" w:color="auto" w:fill="32619D" w:themeFill="accent3"/>
          </w:tcPr>
          <w:p w14:paraId="2A274226" w14:textId="77777777" w:rsidR="006721B8" w:rsidRPr="005147D7" w:rsidDel="002B1C4E" w:rsidRDefault="006721B8" w:rsidP="006721B8">
            <w:pPr>
              <w:pStyle w:val="TableHeading"/>
              <w:rPr>
                <w:sz w:val="22"/>
              </w:rPr>
            </w:pPr>
            <w:r w:rsidRPr="005147D7">
              <w:rPr>
                <w:sz w:val="22"/>
              </w:rPr>
              <w:t>Priority area</w:t>
            </w:r>
          </w:p>
        </w:tc>
        <w:tc>
          <w:tcPr>
            <w:tcW w:w="1722" w:type="pct"/>
            <w:shd w:val="clear" w:color="auto" w:fill="32619D" w:themeFill="accent3"/>
          </w:tcPr>
          <w:p w14:paraId="3F2185A5" w14:textId="77777777" w:rsidR="006721B8" w:rsidRPr="005147D7" w:rsidRDefault="006721B8" w:rsidP="006721B8">
            <w:pPr>
              <w:pStyle w:val="TableHeading"/>
              <w:rPr>
                <w:sz w:val="22"/>
              </w:rPr>
            </w:pPr>
            <w:r w:rsidRPr="005147D7">
              <w:rPr>
                <w:sz w:val="22"/>
              </w:rPr>
              <w:t>Alignment to government commitments</w:t>
            </w:r>
            <w:r w:rsidR="008436A9">
              <w:rPr>
                <w:sz w:val="22"/>
              </w:rPr>
              <w:t xml:space="preserve"> &amp; priorities</w:t>
            </w:r>
          </w:p>
        </w:tc>
      </w:tr>
      <w:tr w:rsidR="008B10F9" w:rsidRPr="005147D7" w14:paraId="253CBFD3" w14:textId="77777777" w:rsidTr="008436A9">
        <w:tc>
          <w:tcPr>
            <w:tcW w:w="5000" w:type="pct"/>
            <w:gridSpan w:val="3"/>
            <w:shd w:val="clear" w:color="auto" w:fill="000000" w:themeFill="text1"/>
          </w:tcPr>
          <w:p w14:paraId="15EC4C6D" w14:textId="77777777" w:rsidR="008B10F9" w:rsidRPr="005147D7" w:rsidDel="002B1C4E" w:rsidRDefault="008B10F9" w:rsidP="006721B8">
            <w:pPr>
              <w:pStyle w:val="TableHeading"/>
              <w:rPr>
                <w:color w:val="auto"/>
                <w:sz w:val="22"/>
              </w:rPr>
            </w:pPr>
            <w:bookmarkStart w:id="4" w:name="_Hlk26534227"/>
            <w:bookmarkStart w:id="5" w:name="_Hlk26534247"/>
            <w:r w:rsidRPr="005147D7">
              <w:rPr>
                <w:color w:val="auto"/>
                <w:sz w:val="22"/>
              </w:rPr>
              <w:t>End avoidable blindness in Aboriginal and Torres Strait Islander communities</w:t>
            </w:r>
          </w:p>
        </w:tc>
      </w:tr>
      <w:bookmarkEnd w:id="4"/>
      <w:tr w:rsidR="006721B8" w:rsidRPr="005147D7" w14:paraId="6036BA83" w14:textId="77777777" w:rsidTr="005147D7">
        <w:tc>
          <w:tcPr>
            <w:tcW w:w="2501" w:type="pct"/>
          </w:tcPr>
          <w:p w14:paraId="2697CD68" w14:textId="77777777" w:rsidR="006721B8" w:rsidRPr="005147D7" w:rsidRDefault="006721B8" w:rsidP="006721B8">
            <w:pPr>
              <w:pStyle w:val="TableBody"/>
              <w:rPr>
                <w:sz w:val="22"/>
              </w:rPr>
            </w:pPr>
            <w:r w:rsidRPr="005147D7">
              <w:rPr>
                <w:sz w:val="22"/>
              </w:rPr>
              <w:t>Fund additional outreach, case management and support services alongside initiatives to embed eye care in community led services</w:t>
            </w:r>
            <w:r w:rsidR="0074017F">
              <w:rPr>
                <w:sz w:val="22"/>
              </w:rPr>
              <w:t>.</w:t>
            </w:r>
          </w:p>
        </w:tc>
        <w:tc>
          <w:tcPr>
            <w:tcW w:w="777" w:type="pct"/>
          </w:tcPr>
          <w:p w14:paraId="28AFDAC3" w14:textId="77777777" w:rsidR="006721B8" w:rsidRDefault="006721B8" w:rsidP="006721B8">
            <w:pPr>
              <w:pStyle w:val="TableBody"/>
              <w:jc w:val="right"/>
              <w:rPr>
                <w:sz w:val="22"/>
              </w:rPr>
            </w:pPr>
            <w:r w:rsidRPr="005147D7">
              <w:rPr>
                <w:sz w:val="22"/>
              </w:rPr>
              <w:t>$</w:t>
            </w:r>
            <w:r w:rsidR="005C2310">
              <w:rPr>
                <w:sz w:val="22"/>
              </w:rPr>
              <w:t>70.17</w:t>
            </w:r>
            <w:r w:rsidRPr="005147D7">
              <w:rPr>
                <w:sz w:val="22"/>
              </w:rPr>
              <w:t xml:space="preserve"> million over </w:t>
            </w:r>
            <w:r w:rsidR="009E20C7">
              <w:rPr>
                <w:sz w:val="22"/>
              </w:rPr>
              <w:t>5</w:t>
            </w:r>
            <w:r w:rsidR="00C945E3">
              <w:rPr>
                <w:sz w:val="22"/>
              </w:rPr>
              <w:t xml:space="preserve"> </w:t>
            </w:r>
            <w:r w:rsidRPr="005147D7">
              <w:rPr>
                <w:sz w:val="22"/>
              </w:rPr>
              <w:t>years</w:t>
            </w:r>
          </w:p>
          <w:p w14:paraId="7D68255B" w14:textId="77777777" w:rsidR="00301CC3" w:rsidRDefault="00301CC3" w:rsidP="006721B8">
            <w:pPr>
              <w:pStyle w:val="TableBody"/>
              <w:jc w:val="right"/>
              <w:rPr>
                <w:sz w:val="22"/>
              </w:rPr>
            </w:pPr>
          </w:p>
          <w:p w14:paraId="1F6E0EF1" w14:textId="77777777" w:rsidR="00301CC3" w:rsidRPr="005147D7" w:rsidRDefault="00301CC3" w:rsidP="006721B8">
            <w:pPr>
              <w:pStyle w:val="TableBody"/>
              <w:jc w:val="right"/>
              <w:rPr>
                <w:sz w:val="22"/>
              </w:rPr>
            </w:pPr>
          </w:p>
        </w:tc>
        <w:tc>
          <w:tcPr>
            <w:tcW w:w="1722" w:type="pct"/>
          </w:tcPr>
          <w:p w14:paraId="5C400931" w14:textId="77777777" w:rsidR="006721B8" w:rsidRPr="005147D7" w:rsidRDefault="006721B8" w:rsidP="0074017F">
            <w:pPr>
              <w:pStyle w:val="TableBody"/>
              <w:rPr>
                <w:sz w:val="22"/>
              </w:rPr>
            </w:pPr>
            <w:r w:rsidRPr="0074017F">
              <w:rPr>
                <w:i/>
                <w:sz w:val="22"/>
              </w:rPr>
              <w:t xml:space="preserve">Long Term </w:t>
            </w:r>
            <w:r w:rsidR="0074017F">
              <w:rPr>
                <w:i/>
                <w:sz w:val="22"/>
              </w:rPr>
              <w:t xml:space="preserve">National </w:t>
            </w:r>
            <w:r w:rsidRPr="0074017F">
              <w:rPr>
                <w:i/>
                <w:sz w:val="22"/>
              </w:rPr>
              <w:t>Health Plan</w:t>
            </w:r>
            <w:r w:rsidRPr="005147D7">
              <w:rPr>
                <w:sz w:val="22"/>
              </w:rPr>
              <w:t xml:space="preserve"> – end avoidable blindness in Aboriginal and Torres Strait Isl</w:t>
            </w:r>
            <w:r w:rsidR="008B10F9">
              <w:rPr>
                <w:sz w:val="22"/>
              </w:rPr>
              <w:t>a</w:t>
            </w:r>
            <w:r w:rsidRPr="005147D7">
              <w:rPr>
                <w:sz w:val="22"/>
              </w:rPr>
              <w:t>nder Communities</w:t>
            </w:r>
          </w:p>
          <w:p w14:paraId="1FAD8E3F" w14:textId="77777777" w:rsidR="006721B8" w:rsidRPr="005147D7" w:rsidRDefault="006721B8" w:rsidP="0074017F">
            <w:pPr>
              <w:pStyle w:val="TableBody"/>
              <w:rPr>
                <w:sz w:val="22"/>
              </w:rPr>
            </w:pPr>
            <w:r w:rsidRPr="0074017F">
              <w:rPr>
                <w:i/>
                <w:sz w:val="22"/>
              </w:rPr>
              <w:t xml:space="preserve">Long Term </w:t>
            </w:r>
            <w:r w:rsidR="0074017F">
              <w:rPr>
                <w:i/>
                <w:sz w:val="22"/>
              </w:rPr>
              <w:t xml:space="preserve">National </w:t>
            </w:r>
            <w:r w:rsidRPr="0074017F">
              <w:rPr>
                <w:i/>
                <w:sz w:val="22"/>
              </w:rPr>
              <w:t>Health Plan</w:t>
            </w:r>
            <w:r w:rsidRPr="005147D7">
              <w:rPr>
                <w:sz w:val="22"/>
              </w:rPr>
              <w:t xml:space="preserve"> – Expand the Rural Health Outreach Fund</w:t>
            </w:r>
          </w:p>
        </w:tc>
      </w:tr>
      <w:bookmarkEnd w:id="5"/>
      <w:tr w:rsidR="008B10F9" w:rsidRPr="005147D7" w14:paraId="01535CAE" w14:textId="77777777" w:rsidTr="008436A9">
        <w:tc>
          <w:tcPr>
            <w:tcW w:w="5000" w:type="pct"/>
            <w:gridSpan w:val="3"/>
            <w:shd w:val="clear" w:color="auto" w:fill="000000" w:themeFill="text1"/>
          </w:tcPr>
          <w:p w14:paraId="2E9E1333" w14:textId="77777777" w:rsidR="008B10F9" w:rsidRPr="005147D7" w:rsidRDefault="008B10F9" w:rsidP="006721B8">
            <w:pPr>
              <w:pStyle w:val="TableHeading"/>
              <w:rPr>
                <w:color w:val="auto"/>
                <w:sz w:val="22"/>
              </w:rPr>
            </w:pPr>
            <w:r w:rsidRPr="005147D7">
              <w:rPr>
                <w:color w:val="auto"/>
                <w:sz w:val="22"/>
              </w:rPr>
              <w:t>Improving access to assistive technologies for people who are blind or vision impaired</w:t>
            </w:r>
          </w:p>
        </w:tc>
      </w:tr>
      <w:tr w:rsidR="006721B8" w:rsidRPr="005147D7" w14:paraId="103480E2" w14:textId="77777777" w:rsidTr="005147D7">
        <w:tc>
          <w:tcPr>
            <w:tcW w:w="3278" w:type="pct"/>
            <w:gridSpan w:val="2"/>
          </w:tcPr>
          <w:p w14:paraId="761727D2" w14:textId="77777777" w:rsidR="006721B8" w:rsidRDefault="006721B8" w:rsidP="006721B8">
            <w:pPr>
              <w:pStyle w:val="TableBody"/>
              <w:rPr>
                <w:sz w:val="22"/>
              </w:rPr>
            </w:pPr>
            <w:r w:rsidRPr="005147D7">
              <w:rPr>
                <w:sz w:val="22"/>
              </w:rPr>
              <w:t>Facilitate timely access to assistive technology for people who are blind or vision impaired and cannot access these supports through other programs.</w:t>
            </w:r>
          </w:p>
          <w:p w14:paraId="715F8E5C" w14:textId="77777777" w:rsidR="00CB6FF1" w:rsidRPr="005147D7" w:rsidRDefault="00CB6FF1" w:rsidP="00CB6FF1">
            <w:pPr>
              <w:pStyle w:val="BodyText"/>
            </w:pPr>
            <w:r>
              <w:t>Support cross disability/aged care sector research to identify how the opportunities and benefits assistive technology can deliver can be maximised for people living with blindness or low vision, their communities, and the broader economy and workforce.</w:t>
            </w:r>
          </w:p>
        </w:tc>
        <w:tc>
          <w:tcPr>
            <w:tcW w:w="1722" w:type="pct"/>
          </w:tcPr>
          <w:p w14:paraId="79E55A87" w14:textId="77777777" w:rsidR="006721B8" w:rsidRDefault="006721B8" w:rsidP="0074017F">
            <w:pPr>
              <w:pStyle w:val="TableBody"/>
              <w:jc w:val="both"/>
              <w:rPr>
                <w:sz w:val="22"/>
              </w:rPr>
            </w:pPr>
            <w:r w:rsidRPr="005147D7">
              <w:rPr>
                <w:sz w:val="22"/>
              </w:rPr>
              <w:t>The NDIS plan</w:t>
            </w:r>
          </w:p>
          <w:p w14:paraId="6ECED7AA" w14:textId="77777777" w:rsidR="008436A9" w:rsidRPr="005147D7" w:rsidDel="00BA30CE" w:rsidRDefault="008436A9" w:rsidP="0074017F">
            <w:pPr>
              <w:pStyle w:val="TableBody"/>
              <w:jc w:val="both"/>
              <w:rPr>
                <w:sz w:val="22"/>
              </w:rPr>
            </w:pPr>
            <w:r>
              <w:rPr>
                <w:sz w:val="22"/>
              </w:rPr>
              <w:t>(also reflects themes emerging from Royal Commission into Aged Care)</w:t>
            </w:r>
            <w:r w:rsidR="00BE7855">
              <w:rPr>
                <w:sz w:val="22"/>
              </w:rPr>
              <w:t>.</w:t>
            </w:r>
          </w:p>
        </w:tc>
      </w:tr>
      <w:tr w:rsidR="008B10F9" w:rsidRPr="005147D7" w14:paraId="60ED2532" w14:textId="77777777" w:rsidTr="008436A9">
        <w:tc>
          <w:tcPr>
            <w:tcW w:w="5000" w:type="pct"/>
            <w:gridSpan w:val="3"/>
            <w:shd w:val="clear" w:color="auto" w:fill="000000" w:themeFill="text1"/>
          </w:tcPr>
          <w:p w14:paraId="494115C6" w14:textId="77777777" w:rsidR="008B10F9" w:rsidRPr="005147D7" w:rsidRDefault="006C457A" w:rsidP="006721B8">
            <w:pPr>
              <w:pStyle w:val="TableHeading"/>
              <w:rPr>
                <w:color w:val="auto"/>
                <w:sz w:val="22"/>
              </w:rPr>
            </w:pPr>
            <w:r>
              <w:rPr>
                <w:color w:val="auto"/>
                <w:sz w:val="22"/>
              </w:rPr>
              <w:t xml:space="preserve">A second </w:t>
            </w:r>
            <w:r w:rsidR="008B10F9" w:rsidRPr="005147D7">
              <w:rPr>
                <w:color w:val="auto"/>
                <w:sz w:val="22"/>
              </w:rPr>
              <w:t xml:space="preserve">National Eye Health Survey </w:t>
            </w:r>
          </w:p>
        </w:tc>
      </w:tr>
      <w:tr w:rsidR="006721B8" w:rsidRPr="005147D7" w14:paraId="2FE40880" w14:textId="77777777" w:rsidTr="005147D7">
        <w:tc>
          <w:tcPr>
            <w:tcW w:w="2501" w:type="pct"/>
          </w:tcPr>
          <w:p w14:paraId="04B8C7F5" w14:textId="77777777" w:rsidR="006721B8" w:rsidRPr="005147D7" w:rsidRDefault="006721B8" w:rsidP="006721B8">
            <w:pPr>
              <w:pStyle w:val="TableBody"/>
              <w:rPr>
                <w:sz w:val="22"/>
              </w:rPr>
            </w:pPr>
            <w:r w:rsidRPr="005147D7">
              <w:rPr>
                <w:sz w:val="22"/>
              </w:rPr>
              <w:t>Fund a second National Eye Health Survey to deepen understanding of Australia’s</w:t>
            </w:r>
            <w:r w:rsidR="006C457A">
              <w:rPr>
                <w:sz w:val="22"/>
              </w:rPr>
              <w:t xml:space="preserve"> vision and</w:t>
            </w:r>
            <w:r w:rsidRPr="005147D7">
              <w:rPr>
                <w:sz w:val="22"/>
              </w:rPr>
              <w:t xml:space="preserve"> </w:t>
            </w:r>
            <w:r w:rsidR="006C457A">
              <w:rPr>
                <w:sz w:val="22"/>
              </w:rPr>
              <w:t>eye health</w:t>
            </w:r>
            <w:r w:rsidR="00BE7855">
              <w:rPr>
                <w:sz w:val="22"/>
              </w:rPr>
              <w:t>.</w:t>
            </w:r>
          </w:p>
        </w:tc>
        <w:tc>
          <w:tcPr>
            <w:tcW w:w="777" w:type="pct"/>
          </w:tcPr>
          <w:p w14:paraId="3FDBBED9" w14:textId="77777777" w:rsidR="006721B8" w:rsidRPr="005147D7" w:rsidRDefault="006721B8" w:rsidP="006721B8">
            <w:pPr>
              <w:pStyle w:val="TableBody"/>
              <w:jc w:val="right"/>
              <w:rPr>
                <w:sz w:val="22"/>
              </w:rPr>
            </w:pPr>
            <w:r w:rsidRPr="005147D7">
              <w:rPr>
                <w:sz w:val="22"/>
              </w:rPr>
              <w:t>$3.99 million over 2 years</w:t>
            </w:r>
          </w:p>
        </w:tc>
        <w:tc>
          <w:tcPr>
            <w:tcW w:w="1722" w:type="pct"/>
          </w:tcPr>
          <w:p w14:paraId="6C355130" w14:textId="77777777" w:rsidR="006721B8" w:rsidRPr="0074017F" w:rsidRDefault="006C457A" w:rsidP="0074017F">
            <w:pPr>
              <w:pStyle w:val="TableBody"/>
              <w:rPr>
                <w:i/>
                <w:sz w:val="22"/>
              </w:rPr>
            </w:pPr>
            <w:r>
              <w:rPr>
                <w:i/>
                <w:sz w:val="22"/>
              </w:rPr>
              <w:t xml:space="preserve">Closing the Gap Partnership Agreement </w:t>
            </w:r>
          </w:p>
          <w:p w14:paraId="54788DC8" w14:textId="77777777" w:rsidR="006721B8" w:rsidRPr="005147D7" w:rsidRDefault="006721B8" w:rsidP="0074017F">
            <w:pPr>
              <w:pStyle w:val="TableBody"/>
              <w:rPr>
                <w:sz w:val="22"/>
              </w:rPr>
            </w:pPr>
            <w:r w:rsidRPr="005147D7">
              <w:rPr>
                <w:sz w:val="22"/>
              </w:rPr>
              <w:t>International reporting obligations through the WHO and other parties</w:t>
            </w:r>
          </w:p>
        </w:tc>
      </w:tr>
      <w:tr w:rsidR="008B10F9" w:rsidRPr="005147D7" w14:paraId="201ECAF7" w14:textId="77777777" w:rsidTr="008436A9">
        <w:tc>
          <w:tcPr>
            <w:tcW w:w="5000" w:type="pct"/>
            <w:gridSpan w:val="3"/>
            <w:shd w:val="clear" w:color="auto" w:fill="000000" w:themeFill="text1"/>
          </w:tcPr>
          <w:p w14:paraId="5A26DDFB" w14:textId="77777777" w:rsidR="008B10F9" w:rsidRPr="005147D7" w:rsidDel="00BA30CE" w:rsidRDefault="008B10F9" w:rsidP="006721B8">
            <w:pPr>
              <w:pStyle w:val="TableHeading"/>
              <w:rPr>
                <w:color w:val="auto"/>
                <w:sz w:val="22"/>
              </w:rPr>
            </w:pPr>
            <w:r w:rsidRPr="005147D7">
              <w:rPr>
                <w:color w:val="auto"/>
                <w:sz w:val="22"/>
              </w:rPr>
              <w:t>Eye health programs in the Indo-Pacific, with a particular focus on PNG</w:t>
            </w:r>
          </w:p>
        </w:tc>
      </w:tr>
      <w:tr w:rsidR="006721B8" w:rsidRPr="005147D7" w14:paraId="033E4AFB" w14:textId="77777777" w:rsidTr="005147D7">
        <w:tc>
          <w:tcPr>
            <w:tcW w:w="2501" w:type="pct"/>
          </w:tcPr>
          <w:p w14:paraId="585D24F8" w14:textId="77777777" w:rsidR="006721B8" w:rsidRPr="009E20C7" w:rsidRDefault="006721B8" w:rsidP="006721B8">
            <w:pPr>
              <w:pStyle w:val="TableBody"/>
              <w:rPr>
                <w:sz w:val="22"/>
              </w:rPr>
            </w:pPr>
            <w:r w:rsidRPr="009E20C7">
              <w:rPr>
                <w:sz w:val="22"/>
              </w:rPr>
              <w:t xml:space="preserve">Fund </w:t>
            </w:r>
            <w:r w:rsidR="009E20C7" w:rsidRPr="009E20C7">
              <w:rPr>
                <w:sz w:val="22"/>
              </w:rPr>
              <w:t>targeted program of workforce, infrastructure and outreach services to reduce high levels of blindness in PNG</w:t>
            </w:r>
            <w:r w:rsidR="00BE7855">
              <w:rPr>
                <w:sz w:val="22"/>
              </w:rPr>
              <w:t>.</w:t>
            </w:r>
            <w:r w:rsidRPr="009E20C7">
              <w:rPr>
                <w:sz w:val="22"/>
              </w:rPr>
              <w:t xml:space="preserve"> </w:t>
            </w:r>
          </w:p>
        </w:tc>
        <w:tc>
          <w:tcPr>
            <w:tcW w:w="777" w:type="pct"/>
          </w:tcPr>
          <w:p w14:paraId="086023A0" w14:textId="77777777" w:rsidR="006721B8" w:rsidRPr="009E20C7" w:rsidRDefault="00DC1BCD" w:rsidP="006721B8">
            <w:pPr>
              <w:pStyle w:val="TableBody"/>
              <w:rPr>
                <w:sz w:val="22"/>
              </w:rPr>
            </w:pPr>
            <w:r w:rsidRPr="009E20C7">
              <w:rPr>
                <w:sz w:val="22"/>
              </w:rPr>
              <w:t>$41</w:t>
            </w:r>
            <w:r w:rsidR="007B1A96">
              <w:rPr>
                <w:sz w:val="22"/>
              </w:rPr>
              <w:t>.</w:t>
            </w:r>
            <w:r w:rsidR="002447C1">
              <w:rPr>
                <w:sz w:val="22"/>
              </w:rPr>
              <w:t>27</w:t>
            </w:r>
            <w:r w:rsidRPr="009E20C7">
              <w:rPr>
                <w:sz w:val="22"/>
              </w:rPr>
              <w:t>million over 5 years</w:t>
            </w:r>
          </w:p>
        </w:tc>
        <w:tc>
          <w:tcPr>
            <w:tcW w:w="1722" w:type="pct"/>
          </w:tcPr>
          <w:p w14:paraId="6B436952" w14:textId="77777777" w:rsidR="006721B8" w:rsidRPr="009E20C7" w:rsidRDefault="008436A9" w:rsidP="0074017F">
            <w:pPr>
              <w:pStyle w:val="TableBody"/>
              <w:rPr>
                <w:sz w:val="22"/>
              </w:rPr>
            </w:pPr>
            <w:r w:rsidRPr="009E20C7">
              <w:rPr>
                <w:sz w:val="22"/>
              </w:rPr>
              <w:t>The Pacific Step Up</w:t>
            </w:r>
          </w:p>
          <w:p w14:paraId="142C5179" w14:textId="77777777" w:rsidR="008436A9" w:rsidRPr="005147D7" w:rsidRDefault="008436A9" w:rsidP="0074017F">
            <w:pPr>
              <w:pStyle w:val="TableBody"/>
              <w:rPr>
                <w:sz w:val="22"/>
              </w:rPr>
            </w:pPr>
            <w:r w:rsidRPr="009E20C7">
              <w:rPr>
                <w:sz w:val="22"/>
              </w:rPr>
              <w:t>Planned PNG Australia Transition to Health program</w:t>
            </w:r>
          </w:p>
        </w:tc>
      </w:tr>
      <w:tr w:rsidR="008B10F9" w:rsidRPr="005147D7" w14:paraId="2FEED091" w14:textId="77777777" w:rsidTr="008436A9">
        <w:tc>
          <w:tcPr>
            <w:tcW w:w="5000" w:type="pct"/>
            <w:gridSpan w:val="3"/>
            <w:shd w:val="clear" w:color="auto" w:fill="000000" w:themeFill="text1"/>
          </w:tcPr>
          <w:p w14:paraId="07CF1F42" w14:textId="77777777" w:rsidR="008B10F9" w:rsidRPr="005147D7" w:rsidRDefault="008B10F9" w:rsidP="006721B8">
            <w:pPr>
              <w:pStyle w:val="TableHeading"/>
              <w:rPr>
                <w:color w:val="auto"/>
                <w:sz w:val="22"/>
              </w:rPr>
            </w:pPr>
            <w:r w:rsidRPr="005147D7">
              <w:rPr>
                <w:color w:val="auto"/>
                <w:sz w:val="22"/>
              </w:rPr>
              <w:t xml:space="preserve">Extend support for KeepSight </w:t>
            </w:r>
          </w:p>
        </w:tc>
      </w:tr>
      <w:tr w:rsidR="006721B8" w:rsidRPr="005147D7" w14:paraId="0BB207F7" w14:textId="77777777" w:rsidTr="005147D7">
        <w:tc>
          <w:tcPr>
            <w:tcW w:w="2501" w:type="pct"/>
          </w:tcPr>
          <w:p w14:paraId="77C40DE0" w14:textId="77777777" w:rsidR="006721B8" w:rsidRPr="005147D7" w:rsidRDefault="009E20C7" w:rsidP="006721B8">
            <w:pPr>
              <w:pStyle w:val="TableBody"/>
              <w:rPr>
                <w:sz w:val="22"/>
              </w:rPr>
            </w:pPr>
            <w:r>
              <w:rPr>
                <w:sz w:val="22"/>
              </w:rPr>
              <w:t>Match private sector funding for coming three years to sustain efforts to reduce diabetes related vision loss</w:t>
            </w:r>
            <w:r w:rsidR="00BE7855">
              <w:rPr>
                <w:sz w:val="22"/>
              </w:rPr>
              <w:t>.</w:t>
            </w:r>
          </w:p>
        </w:tc>
        <w:tc>
          <w:tcPr>
            <w:tcW w:w="777" w:type="pct"/>
          </w:tcPr>
          <w:p w14:paraId="375538B5" w14:textId="77777777" w:rsidR="006721B8" w:rsidRPr="005147D7" w:rsidRDefault="006721B8" w:rsidP="006721B8">
            <w:pPr>
              <w:pStyle w:val="TableBody"/>
              <w:jc w:val="right"/>
              <w:rPr>
                <w:sz w:val="22"/>
              </w:rPr>
            </w:pPr>
            <w:r w:rsidRPr="005147D7">
              <w:rPr>
                <w:sz w:val="22"/>
              </w:rPr>
              <w:t>$4.5</w:t>
            </w:r>
            <w:r w:rsidR="00E62EA0">
              <w:rPr>
                <w:sz w:val="22"/>
              </w:rPr>
              <w:t>0</w:t>
            </w:r>
            <w:r w:rsidRPr="005147D7">
              <w:rPr>
                <w:sz w:val="22"/>
              </w:rPr>
              <w:t xml:space="preserve"> million over 3 years</w:t>
            </w:r>
            <w:r w:rsidR="009E20C7">
              <w:rPr>
                <w:sz w:val="22"/>
              </w:rPr>
              <w:t xml:space="preserve"> </w:t>
            </w:r>
          </w:p>
        </w:tc>
        <w:tc>
          <w:tcPr>
            <w:tcW w:w="1722" w:type="pct"/>
          </w:tcPr>
          <w:p w14:paraId="5B6D5065" w14:textId="77777777" w:rsidR="006721B8" w:rsidRPr="005147D7" w:rsidRDefault="006721B8" w:rsidP="0074017F">
            <w:pPr>
              <w:pStyle w:val="TableBody"/>
              <w:rPr>
                <w:sz w:val="22"/>
              </w:rPr>
            </w:pPr>
            <w:r w:rsidRPr="005147D7">
              <w:rPr>
                <w:sz w:val="22"/>
              </w:rPr>
              <w:t>National Diabetes Strategy</w:t>
            </w:r>
          </w:p>
        </w:tc>
      </w:tr>
    </w:tbl>
    <w:p w14:paraId="47E836F8" w14:textId="77777777" w:rsidR="00DF7D13" w:rsidRDefault="00DF7D13" w:rsidP="00BF5ACD">
      <w:pPr>
        <w:pStyle w:val="BodyText"/>
      </w:pPr>
    </w:p>
    <w:p w14:paraId="32919053" w14:textId="77777777" w:rsidR="00DF7D13" w:rsidRDefault="00DF7D13" w:rsidP="00BF5ACD">
      <w:pPr>
        <w:pStyle w:val="BodyText"/>
      </w:pPr>
    </w:p>
    <w:p w14:paraId="155A9DE4" w14:textId="77777777" w:rsidR="00F978A9" w:rsidRDefault="00F978A9" w:rsidP="002E62B5">
      <w:pPr>
        <w:rPr>
          <w:rFonts w:eastAsia="Times New Roman" w:cs="Times New Roman"/>
          <w:szCs w:val="24"/>
          <w:lang w:eastAsia="en-AU"/>
        </w:rPr>
      </w:pPr>
      <w:r>
        <w:br w:type="page"/>
      </w:r>
    </w:p>
    <w:p w14:paraId="5067F038" w14:textId="77777777" w:rsidR="009E3BCF" w:rsidRPr="006759F6" w:rsidRDefault="00AA5D9C" w:rsidP="00AA5D9C">
      <w:pPr>
        <w:pStyle w:val="NbrHeading1"/>
        <w:numPr>
          <w:ilvl w:val="0"/>
          <w:numId w:val="0"/>
        </w:numPr>
        <w:ind w:left="1134" w:hanging="1134"/>
      </w:pPr>
      <w:bookmarkStart w:id="6" w:name="_Toc27475925"/>
      <w:r>
        <w:lastRenderedPageBreak/>
        <w:t>Budget priorities for 2020-21</w:t>
      </w:r>
      <w:bookmarkEnd w:id="6"/>
    </w:p>
    <w:p w14:paraId="3E777D9E" w14:textId="77777777" w:rsidR="00BF5ACD" w:rsidRPr="00E30B9D" w:rsidRDefault="00975082" w:rsidP="00AA5D9C">
      <w:pPr>
        <w:pStyle w:val="Heading2"/>
      </w:pPr>
      <w:bookmarkStart w:id="7" w:name="_Toc27475926"/>
      <w:r w:rsidRPr="005147D7">
        <w:t>End avoidable blindness in Aboriginal and Torres Strait Islander communities</w:t>
      </w:r>
      <w:bookmarkEnd w:id="7"/>
    </w:p>
    <w:p w14:paraId="091AF81C" w14:textId="77777777" w:rsidR="00E30B9D" w:rsidRPr="005147D7" w:rsidRDefault="00181BA7" w:rsidP="005147D7">
      <w:pPr>
        <w:pStyle w:val="BodyText"/>
        <w:rPr>
          <w:szCs w:val="22"/>
        </w:rPr>
      </w:pPr>
      <w:r w:rsidRPr="005147D7">
        <w:rPr>
          <w:i/>
          <w:szCs w:val="22"/>
        </w:rPr>
        <w:t>Strong Eyes, Strong Communities</w:t>
      </w:r>
      <w:r w:rsidR="0074017F">
        <w:rPr>
          <w:i/>
          <w:szCs w:val="22"/>
        </w:rPr>
        <w:t xml:space="preserve"> </w:t>
      </w:r>
      <w:r w:rsidRPr="005147D7">
        <w:rPr>
          <w:i/>
          <w:szCs w:val="22"/>
        </w:rPr>
        <w:t xml:space="preserve">– a </w:t>
      </w:r>
      <w:proofErr w:type="gramStart"/>
      <w:r w:rsidRPr="005147D7">
        <w:rPr>
          <w:i/>
          <w:szCs w:val="22"/>
        </w:rPr>
        <w:t>five year</w:t>
      </w:r>
      <w:proofErr w:type="gramEnd"/>
      <w:r w:rsidRPr="005147D7">
        <w:rPr>
          <w:i/>
          <w:szCs w:val="22"/>
        </w:rPr>
        <w:t xml:space="preserve"> plan for Aboriginal and Torres Strait Islander Eye Health and Vision 2019-2024 </w:t>
      </w:r>
      <w:r w:rsidRPr="005147D7">
        <w:rPr>
          <w:szCs w:val="22"/>
        </w:rPr>
        <w:t xml:space="preserve">is the roadmap that </w:t>
      </w:r>
      <w:r w:rsidR="00975082" w:rsidRPr="005147D7">
        <w:rPr>
          <w:szCs w:val="22"/>
        </w:rPr>
        <w:t xml:space="preserve">describes the actions needed to deliver on the </w:t>
      </w:r>
      <w:r w:rsidR="00755BD0" w:rsidRPr="005147D7">
        <w:rPr>
          <w:szCs w:val="22"/>
        </w:rPr>
        <w:t>Morrison Government’s commitment</w:t>
      </w:r>
      <w:r w:rsidR="00E30B9D" w:rsidRPr="005147D7">
        <w:rPr>
          <w:szCs w:val="22"/>
        </w:rPr>
        <w:t xml:space="preserve">s in </w:t>
      </w:r>
      <w:r w:rsidR="0074017F">
        <w:rPr>
          <w:szCs w:val="22"/>
        </w:rPr>
        <w:t>Australia’s</w:t>
      </w:r>
      <w:r w:rsidR="00E30B9D" w:rsidRPr="005147D7">
        <w:rPr>
          <w:szCs w:val="22"/>
        </w:rPr>
        <w:t xml:space="preserve"> Long Term </w:t>
      </w:r>
      <w:r w:rsidR="0074017F">
        <w:rPr>
          <w:szCs w:val="22"/>
        </w:rPr>
        <w:t xml:space="preserve">National </w:t>
      </w:r>
      <w:r w:rsidR="00E30B9D" w:rsidRPr="005147D7">
        <w:rPr>
          <w:szCs w:val="22"/>
        </w:rPr>
        <w:t>Health Plan to</w:t>
      </w:r>
      <w:r w:rsidR="008B10F9">
        <w:rPr>
          <w:szCs w:val="22"/>
        </w:rPr>
        <w:t xml:space="preserve"> </w:t>
      </w:r>
      <w:r w:rsidR="00E30B9D" w:rsidRPr="005147D7">
        <w:rPr>
          <w:szCs w:val="22"/>
        </w:rPr>
        <w:t>end</w:t>
      </w:r>
      <w:r w:rsidRPr="005147D7">
        <w:rPr>
          <w:szCs w:val="22"/>
        </w:rPr>
        <w:t xml:space="preserve"> </w:t>
      </w:r>
      <w:r w:rsidR="00755BD0" w:rsidRPr="005147D7">
        <w:rPr>
          <w:szCs w:val="22"/>
        </w:rPr>
        <w:t>avoidable blindness in Aboriginal and Torres Strait Islander communities</w:t>
      </w:r>
      <w:r w:rsidR="00E30B9D" w:rsidRPr="005147D7">
        <w:rPr>
          <w:szCs w:val="22"/>
        </w:rPr>
        <w:t xml:space="preserve"> </w:t>
      </w:r>
      <w:r w:rsidR="00E30B9D" w:rsidRPr="0074017F">
        <w:rPr>
          <w:szCs w:val="22"/>
        </w:rPr>
        <w:t>by 2025,</w:t>
      </w:r>
      <w:r w:rsidR="00E30B9D" w:rsidRPr="005147D7">
        <w:rPr>
          <w:szCs w:val="22"/>
        </w:rPr>
        <w:t xml:space="preserve"> and</w:t>
      </w:r>
      <w:r w:rsidR="008B10F9">
        <w:rPr>
          <w:szCs w:val="22"/>
        </w:rPr>
        <w:t xml:space="preserve"> </w:t>
      </w:r>
      <w:r w:rsidR="00E30B9D" w:rsidRPr="005147D7">
        <w:rPr>
          <w:szCs w:val="22"/>
        </w:rPr>
        <w:t xml:space="preserve">increase Rural Health Outreach Funding. </w:t>
      </w:r>
    </w:p>
    <w:p w14:paraId="6AACF840" w14:textId="77777777" w:rsidR="00AA5D9C" w:rsidRDefault="00BB5E26">
      <w:pPr>
        <w:pStyle w:val="BodyText"/>
        <w:rPr>
          <w:szCs w:val="22"/>
        </w:rPr>
      </w:pPr>
      <w:r w:rsidRPr="005147D7">
        <w:rPr>
          <w:szCs w:val="22"/>
        </w:rPr>
        <w:t xml:space="preserve">Developed through cross sector collaboration and with input from Aboriginal and Torres Strait Islander organisations, leaders and health workers, </w:t>
      </w:r>
      <w:r w:rsidR="00227131">
        <w:rPr>
          <w:szCs w:val="22"/>
        </w:rPr>
        <w:t>seven</w:t>
      </w:r>
      <w:r w:rsidRPr="005147D7">
        <w:rPr>
          <w:szCs w:val="22"/>
        </w:rPr>
        <w:t xml:space="preserve"> priorities for investment in 2020-21</w:t>
      </w:r>
      <w:r w:rsidR="00E30B9D" w:rsidRPr="005147D7">
        <w:rPr>
          <w:szCs w:val="22"/>
        </w:rPr>
        <w:t xml:space="preserve"> have been identified</w:t>
      </w:r>
      <w:r w:rsidR="001D1C25">
        <w:rPr>
          <w:szCs w:val="22"/>
        </w:rPr>
        <w:t xml:space="preserve"> </w:t>
      </w:r>
      <w:r w:rsidRPr="005147D7">
        <w:rPr>
          <w:szCs w:val="22"/>
        </w:rPr>
        <w:t xml:space="preserve">(Table 1). Together, these will deliver over </w:t>
      </w:r>
      <w:r w:rsidR="00BE7855">
        <w:rPr>
          <w:szCs w:val="22"/>
        </w:rPr>
        <w:t>183</w:t>
      </w:r>
      <w:r w:rsidR="000B32F4" w:rsidRPr="005147D7">
        <w:rPr>
          <w:szCs w:val="22"/>
        </w:rPr>
        <w:t xml:space="preserve">,000 extra outreach, support and other services </w:t>
      </w:r>
      <w:r w:rsidR="008B10F9">
        <w:rPr>
          <w:szCs w:val="22"/>
        </w:rPr>
        <w:t xml:space="preserve">over </w:t>
      </w:r>
      <w:r w:rsidR="008436A9">
        <w:rPr>
          <w:szCs w:val="22"/>
        </w:rPr>
        <w:t xml:space="preserve">the </w:t>
      </w:r>
      <w:r w:rsidR="00B40C79">
        <w:rPr>
          <w:szCs w:val="22"/>
        </w:rPr>
        <w:t>2020-2025 period as well as other</w:t>
      </w:r>
      <w:r w:rsidR="00E30B9D" w:rsidRPr="005147D7">
        <w:rPr>
          <w:szCs w:val="22"/>
        </w:rPr>
        <w:t xml:space="preserve"> activities to </w:t>
      </w:r>
      <w:r w:rsidR="008B10F9">
        <w:rPr>
          <w:szCs w:val="22"/>
        </w:rPr>
        <w:t>build sustainable, locally led eye</w:t>
      </w:r>
      <w:r w:rsidR="00227131">
        <w:rPr>
          <w:szCs w:val="22"/>
        </w:rPr>
        <w:t xml:space="preserve"> </w:t>
      </w:r>
      <w:r w:rsidR="008B10F9">
        <w:rPr>
          <w:szCs w:val="22"/>
        </w:rPr>
        <w:t xml:space="preserve">care into the future. </w:t>
      </w:r>
    </w:p>
    <w:p w14:paraId="08BCA44B" w14:textId="650A35B4" w:rsidR="000B32F4" w:rsidRPr="005147D7" w:rsidRDefault="000B32F4" w:rsidP="00DC1BCD">
      <w:pPr>
        <w:pStyle w:val="TableTitle"/>
        <w:rPr>
          <w:sz w:val="22"/>
        </w:rPr>
      </w:pPr>
      <w:r w:rsidRPr="005147D7">
        <w:rPr>
          <w:sz w:val="22"/>
        </w:rPr>
        <w:t xml:space="preserve">Table </w:t>
      </w:r>
      <w:r w:rsidR="00813B02" w:rsidRPr="005147D7">
        <w:rPr>
          <w:sz w:val="22"/>
        </w:rPr>
        <w:fldChar w:fldCharType="begin"/>
      </w:r>
      <w:r w:rsidR="00813B02" w:rsidRPr="005147D7">
        <w:rPr>
          <w:sz w:val="22"/>
        </w:rPr>
        <w:instrText xml:space="preserve"> SEQ Table \* ARABIC </w:instrText>
      </w:r>
      <w:r w:rsidR="00813B02" w:rsidRPr="005147D7">
        <w:rPr>
          <w:sz w:val="22"/>
        </w:rPr>
        <w:fldChar w:fldCharType="separate"/>
      </w:r>
      <w:r w:rsidR="0061078A">
        <w:rPr>
          <w:noProof/>
          <w:sz w:val="22"/>
        </w:rPr>
        <w:t>1</w:t>
      </w:r>
      <w:r w:rsidR="00813B02" w:rsidRPr="005147D7">
        <w:rPr>
          <w:noProof/>
          <w:sz w:val="22"/>
        </w:rPr>
        <w:fldChar w:fldCharType="end"/>
      </w:r>
      <w:r w:rsidRPr="005147D7">
        <w:rPr>
          <w:sz w:val="22"/>
        </w:rPr>
        <w:tab/>
      </w:r>
      <w:r w:rsidR="00755BD0" w:rsidRPr="005147D7">
        <w:rPr>
          <w:i/>
          <w:sz w:val="22"/>
        </w:rPr>
        <w:t>Strong Eyes, Strong Communities</w:t>
      </w:r>
      <w:r w:rsidR="00755BD0" w:rsidRPr="005147D7">
        <w:rPr>
          <w:sz w:val="22"/>
        </w:rPr>
        <w:t xml:space="preserve"> investment priorities</w:t>
      </w:r>
      <w:r w:rsidR="008B10F9" w:rsidRPr="005147D7">
        <w:rPr>
          <w:sz w:val="22"/>
        </w:rPr>
        <w:t xml:space="preserve"> </w:t>
      </w:r>
      <w:r w:rsidR="009E20C7">
        <w:rPr>
          <w:sz w:val="22"/>
        </w:rPr>
        <w:t>for coming 5 years</w:t>
      </w:r>
    </w:p>
    <w:tbl>
      <w:tblPr>
        <w:tblStyle w:val="TableGrid"/>
        <w:tblW w:w="4781" w:type="pct"/>
        <w:tblLook w:val="0620" w:firstRow="1" w:lastRow="0" w:firstColumn="0" w:lastColumn="0" w:noHBand="1" w:noVBand="1"/>
      </w:tblPr>
      <w:tblGrid>
        <w:gridCol w:w="3260"/>
        <w:gridCol w:w="988"/>
        <w:gridCol w:w="4958"/>
      </w:tblGrid>
      <w:tr w:rsidR="001D1C25" w:rsidRPr="001D1C25" w14:paraId="59D9DE7F" w14:textId="77777777" w:rsidTr="005147D7">
        <w:tc>
          <w:tcPr>
            <w:tcW w:w="3260" w:type="dxa"/>
            <w:shd w:val="clear" w:color="auto" w:fill="32619D" w:themeFill="accent3"/>
          </w:tcPr>
          <w:p w14:paraId="47F77A15" w14:textId="77777777" w:rsidR="001D1C25" w:rsidRPr="005147D7" w:rsidRDefault="001D1C25" w:rsidP="00DC1BCD">
            <w:pPr>
              <w:pStyle w:val="TableHeading"/>
              <w:rPr>
                <w:sz w:val="18"/>
                <w:szCs w:val="18"/>
              </w:rPr>
            </w:pPr>
            <w:r w:rsidRPr="005147D7">
              <w:rPr>
                <w:sz w:val="18"/>
                <w:szCs w:val="18"/>
              </w:rPr>
              <w:t>Element</w:t>
            </w:r>
          </w:p>
        </w:tc>
        <w:tc>
          <w:tcPr>
            <w:tcW w:w="988" w:type="dxa"/>
            <w:shd w:val="clear" w:color="auto" w:fill="32619D" w:themeFill="accent3"/>
          </w:tcPr>
          <w:p w14:paraId="7C13513D" w14:textId="77777777" w:rsidR="001D1C25" w:rsidRPr="005147D7" w:rsidRDefault="001D1C25" w:rsidP="00DC1BCD">
            <w:pPr>
              <w:pStyle w:val="TableHeading"/>
              <w:rPr>
                <w:sz w:val="18"/>
                <w:szCs w:val="18"/>
              </w:rPr>
            </w:pPr>
            <w:r w:rsidRPr="005147D7">
              <w:rPr>
                <w:sz w:val="18"/>
                <w:szCs w:val="18"/>
              </w:rPr>
              <w:t xml:space="preserve">$ (m) </w:t>
            </w:r>
          </w:p>
        </w:tc>
        <w:tc>
          <w:tcPr>
            <w:tcW w:w="4958" w:type="dxa"/>
            <w:shd w:val="clear" w:color="auto" w:fill="32619D" w:themeFill="accent3"/>
          </w:tcPr>
          <w:p w14:paraId="0C209AA8" w14:textId="77777777" w:rsidR="001D1C25" w:rsidRPr="005147D7" w:rsidRDefault="001D1C25" w:rsidP="00DC1BCD">
            <w:pPr>
              <w:pStyle w:val="TableHeading"/>
              <w:rPr>
                <w:sz w:val="18"/>
                <w:szCs w:val="18"/>
              </w:rPr>
            </w:pPr>
            <w:r w:rsidRPr="005147D7">
              <w:rPr>
                <w:sz w:val="18"/>
                <w:szCs w:val="18"/>
              </w:rPr>
              <w:t>Deliverables</w:t>
            </w:r>
          </w:p>
        </w:tc>
      </w:tr>
      <w:tr w:rsidR="001D1C25" w:rsidRPr="00E30B9D" w14:paraId="04A213E0" w14:textId="77777777" w:rsidTr="005147D7">
        <w:tc>
          <w:tcPr>
            <w:tcW w:w="3260" w:type="dxa"/>
          </w:tcPr>
          <w:p w14:paraId="16398236" w14:textId="77777777" w:rsidR="001D1C25" w:rsidRPr="005147D7" w:rsidRDefault="001D1C25" w:rsidP="00DC1BCD">
            <w:pPr>
              <w:pStyle w:val="TableBody"/>
              <w:rPr>
                <w:sz w:val="22"/>
              </w:rPr>
            </w:pPr>
            <w:r w:rsidRPr="005147D7">
              <w:rPr>
                <w:sz w:val="22"/>
              </w:rPr>
              <w:t>Co-design, implement and evaluate ACCHO led models of eye care</w:t>
            </w:r>
            <w:r w:rsidR="00227131">
              <w:rPr>
                <w:sz w:val="22"/>
              </w:rPr>
              <w:t>.</w:t>
            </w:r>
          </w:p>
        </w:tc>
        <w:tc>
          <w:tcPr>
            <w:tcW w:w="988" w:type="dxa"/>
          </w:tcPr>
          <w:p w14:paraId="3744FD73" w14:textId="77777777" w:rsidR="001D1C25" w:rsidRPr="005147D7" w:rsidRDefault="00B40C79" w:rsidP="00755BD0">
            <w:pPr>
              <w:pStyle w:val="TableBody"/>
              <w:jc w:val="right"/>
              <w:rPr>
                <w:sz w:val="22"/>
              </w:rPr>
            </w:pPr>
            <w:r>
              <w:rPr>
                <w:sz w:val="22"/>
              </w:rPr>
              <w:t>4.57</w:t>
            </w:r>
          </w:p>
        </w:tc>
        <w:tc>
          <w:tcPr>
            <w:tcW w:w="4958" w:type="dxa"/>
          </w:tcPr>
          <w:p w14:paraId="6CBC0894" w14:textId="77777777" w:rsidR="001D1C25" w:rsidRPr="005147D7" w:rsidRDefault="001D1C25" w:rsidP="00DC1BCD">
            <w:pPr>
              <w:pStyle w:val="TableBody"/>
              <w:rPr>
                <w:sz w:val="22"/>
              </w:rPr>
            </w:pPr>
            <w:r w:rsidRPr="005147D7">
              <w:rPr>
                <w:sz w:val="22"/>
              </w:rPr>
              <w:t>Pilot established and operating across three ACCHOs, early stage evaluation completed</w:t>
            </w:r>
            <w:r w:rsidR="00227131">
              <w:rPr>
                <w:sz w:val="22"/>
              </w:rPr>
              <w:t>.</w:t>
            </w:r>
          </w:p>
        </w:tc>
      </w:tr>
      <w:tr w:rsidR="001D1C25" w:rsidRPr="00FC3F91" w14:paraId="6433C809" w14:textId="77777777" w:rsidTr="005147D7">
        <w:tblPrEx>
          <w:tblLook w:val="04A0" w:firstRow="1" w:lastRow="0" w:firstColumn="1" w:lastColumn="0" w:noHBand="0" w:noVBand="1"/>
        </w:tblPrEx>
        <w:tc>
          <w:tcPr>
            <w:tcW w:w="3260" w:type="dxa"/>
          </w:tcPr>
          <w:p w14:paraId="58E12076" w14:textId="77777777" w:rsidR="001D1C25" w:rsidRPr="00FC3F91" w:rsidRDefault="001D1C25" w:rsidP="00DC1BCD">
            <w:pPr>
              <w:pStyle w:val="TableBody"/>
              <w:rPr>
                <w:sz w:val="22"/>
              </w:rPr>
            </w:pPr>
            <w:r w:rsidRPr="00FC3F91">
              <w:rPr>
                <w:sz w:val="22"/>
              </w:rPr>
              <w:t>Fund eye health training for ACCHO staff to build local capacity and bolster prevention efforts</w:t>
            </w:r>
            <w:r w:rsidR="00227131">
              <w:rPr>
                <w:sz w:val="22"/>
              </w:rPr>
              <w:t>.</w:t>
            </w:r>
          </w:p>
        </w:tc>
        <w:tc>
          <w:tcPr>
            <w:tcW w:w="988" w:type="dxa"/>
          </w:tcPr>
          <w:p w14:paraId="4FA72F86" w14:textId="77777777" w:rsidR="001D1C25" w:rsidRPr="00FC3F91" w:rsidRDefault="00B40C79" w:rsidP="00DC1BCD">
            <w:pPr>
              <w:pStyle w:val="TableBody"/>
              <w:jc w:val="right"/>
              <w:rPr>
                <w:sz w:val="22"/>
              </w:rPr>
            </w:pPr>
            <w:r>
              <w:rPr>
                <w:sz w:val="22"/>
              </w:rPr>
              <w:t>5.35</w:t>
            </w:r>
          </w:p>
        </w:tc>
        <w:tc>
          <w:tcPr>
            <w:tcW w:w="4958" w:type="dxa"/>
          </w:tcPr>
          <w:p w14:paraId="5BD70DA8" w14:textId="77777777" w:rsidR="001D1C25" w:rsidRPr="00FC3F91" w:rsidRDefault="003B442C" w:rsidP="003B442C">
            <w:pPr>
              <w:pStyle w:val="TableBody"/>
              <w:rPr>
                <w:sz w:val="22"/>
              </w:rPr>
            </w:pPr>
            <w:r w:rsidRPr="003B442C">
              <w:rPr>
                <w:sz w:val="22"/>
              </w:rPr>
              <w:t xml:space="preserve">Fund </w:t>
            </w:r>
            <w:r w:rsidR="00224CCB">
              <w:rPr>
                <w:sz w:val="22"/>
              </w:rPr>
              <w:t>eye health</w:t>
            </w:r>
            <w:r w:rsidRPr="003B442C">
              <w:rPr>
                <w:sz w:val="22"/>
              </w:rPr>
              <w:t xml:space="preserve"> training </w:t>
            </w:r>
            <w:r w:rsidR="00224CCB">
              <w:rPr>
                <w:sz w:val="22"/>
              </w:rPr>
              <w:t>for ACCHO staff across Australia, supported by ongoing peer networks</w:t>
            </w:r>
            <w:r w:rsidR="00BE7855">
              <w:rPr>
                <w:sz w:val="22"/>
              </w:rPr>
              <w:t>.</w:t>
            </w:r>
          </w:p>
        </w:tc>
      </w:tr>
      <w:tr w:rsidR="001D1C25" w:rsidRPr="00E30B9D" w14:paraId="66A25FFA" w14:textId="77777777" w:rsidTr="005147D7">
        <w:tc>
          <w:tcPr>
            <w:tcW w:w="3260" w:type="dxa"/>
          </w:tcPr>
          <w:p w14:paraId="318DF197" w14:textId="77777777" w:rsidR="001D1C25" w:rsidRPr="005147D7" w:rsidRDefault="001D1C25" w:rsidP="00755BD0">
            <w:pPr>
              <w:pStyle w:val="TableBody"/>
              <w:tabs>
                <w:tab w:val="left" w:pos="2540"/>
              </w:tabs>
              <w:rPr>
                <w:sz w:val="22"/>
              </w:rPr>
            </w:pPr>
            <w:r w:rsidRPr="005147D7">
              <w:rPr>
                <w:sz w:val="22"/>
              </w:rPr>
              <w:t>Fund priority equipment to facilitate more local service provision</w:t>
            </w:r>
            <w:r w:rsidR="00227131">
              <w:rPr>
                <w:sz w:val="22"/>
              </w:rPr>
              <w:t>.</w:t>
            </w:r>
          </w:p>
        </w:tc>
        <w:tc>
          <w:tcPr>
            <w:tcW w:w="988" w:type="dxa"/>
          </w:tcPr>
          <w:p w14:paraId="2D79EC0C" w14:textId="77777777" w:rsidR="001D1C25" w:rsidRPr="005147D7" w:rsidRDefault="00B40C79" w:rsidP="00755BD0">
            <w:pPr>
              <w:pStyle w:val="TableBody"/>
              <w:jc w:val="right"/>
              <w:rPr>
                <w:sz w:val="22"/>
              </w:rPr>
            </w:pPr>
            <w:r>
              <w:rPr>
                <w:sz w:val="22"/>
              </w:rPr>
              <w:t>5.41</w:t>
            </w:r>
          </w:p>
        </w:tc>
        <w:tc>
          <w:tcPr>
            <w:tcW w:w="4958" w:type="dxa"/>
          </w:tcPr>
          <w:p w14:paraId="3961590F" w14:textId="77777777" w:rsidR="001D1C25" w:rsidRPr="005147D7" w:rsidRDefault="00224CCB" w:rsidP="00DC1BCD">
            <w:pPr>
              <w:pStyle w:val="TableBody"/>
              <w:rPr>
                <w:sz w:val="22"/>
              </w:rPr>
            </w:pPr>
            <w:r>
              <w:rPr>
                <w:sz w:val="22"/>
              </w:rPr>
              <w:t>Slit</w:t>
            </w:r>
            <w:r w:rsidR="001D1C25">
              <w:rPr>
                <w:sz w:val="22"/>
              </w:rPr>
              <w:t xml:space="preserve"> lamps and ocular coherence tomography units in priority locations</w:t>
            </w:r>
            <w:r w:rsidR="00227131">
              <w:rPr>
                <w:sz w:val="22"/>
              </w:rPr>
              <w:t>.</w:t>
            </w:r>
          </w:p>
        </w:tc>
      </w:tr>
      <w:tr w:rsidR="001D1C25" w:rsidRPr="00E30B9D" w14:paraId="31952F60" w14:textId="77777777" w:rsidTr="005147D7">
        <w:tc>
          <w:tcPr>
            <w:tcW w:w="3260" w:type="dxa"/>
          </w:tcPr>
          <w:p w14:paraId="7E48D741" w14:textId="77777777" w:rsidR="001D1C25" w:rsidRPr="005147D7" w:rsidRDefault="001D1C25" w:rsidP="00DC1BCD">
            <w:pPr>
              <w:pStyle w:val="TableBody"/>
              <w:rPr>
                <w:sz w:val="22"/>
              </w:rPr>
            </w:pPr>
            <w:r w:rsidRPr="005147D7">
              <w:rPr>
                <w:sz w:val="22"/>
              </w:rPr>
              <w:t xml:space="preserve">Improve local </w:t>
            </w:r>
            <w:r>
              <w:rPr>
                <w:sz w:val="22"/>
              </w:rPr>
              <w:t xml:space="preserve">case management and </w:t>
            </w:r>
            <w:r w:rsidRPr="005147D7">
              <w:rPr>
                <w:sz w:val="22"/>
              </w:rPr>
              <w:t>support for people to access and continue treatment and care</w:t>
            </w:r>
            <w:r w:rsidR="00227131">
              <w:rPr>
                <w:sz w:val="22"/>
              </w:rPr>
              <w:t>.</w:t>
            </w:r>
          </w:p>
        </w:tc>
        <w:tc>
          <w:tcPr>
            <w:tcW w:w="988" w:type="dxa"/>
          </w:tcPr>
          <w:p w14:paraId="4B76C5DC" w14:textId="77777777" w:rsidR="001D1C25" w:rsidRPr="005147D7" w:rsidRDefault="00B40C79" w:rsidP="00755BD0">
            <w:pPr>
              <w:pStyle w:val="TableBody"/>
              <w:jc w:val="right"/>
              <w:rPr>
                <w:sz w:val="22"/>
              </w:rPr>
            </w:pPr>
            <w:r>
              <w:rPr>
                <w:sz w:val="22"/>
              </w:rPr>
              <w:t>26.21</w:t>
            </w:r>
          </w:p>
        </w:tc>
        <w:tc>
          <w:tcPr>
            <w:tcW w:w="4958" w:type="dxa"/>
          </w:tcPr>
          <w:p w14:paraId="26915C78" w14:textId="77777777" w:rsidR="001D1C25" w:rsidRPr="005147D7" w:rsidRDefault="00B40C79" w:rsidP="00DC1BCD">
            <w:pPr>
              <w:pStyle w:val="TableBody"/>
              <w:rPr>
                <w:sz w:val="22"/>
              </w:rPr>
            </w:pPr>
            <w:r>
              <w:rPr>
                <w:sz w:val="22"/>
              </w:rPr>
              <w:t>100,000</w:t>
            </w:r>
            <w:r w:rsidR="001D1C25" w:rsidRPr="005147D7">
              <w:rPr>
                <w:sz w:val="22"/>
              </w:rPr>
              <w:t xml:space="preserve"> local support services provided over </w:t>
            </w:r>
            <w:r>
              <w:rPr>
                <w:sz w:val="22"/>
              </w:rPr>
              <w:t xml:space="preserve">5 </w:t>
            </w:r>
            <w:r w:rsidR="001D1C25" w:rsidRPr="005147D7">
              <w:rPr>
                <w:sz w:val="22"/>
              </w:rPr>
              <w:t>years</w:t>
            </w:r>
            <w:r w:rsidR="00227131">
              <w:rPr>
                <w:sz w:val="22"/>
              </w:rPr>
              <w:t>.</w:t>
            </w:r>
          </w:p>
        </w:tc>
      </w:tr>
      <w:tr w:rsidR="001D1C25" w:rsidRPr="00FC3F91" w14:paraId="3877A364" w14:textId="77777777" w:rsidTr="005147D7">
        <w:tc>
          <w:tcPr>
            <w:tcW w:w="3260" w:type="dxa"/>
          </w:tcPr>
          <w:p w14:paraId="4347502A" w14:textId="77777777" w:rsidR="001D1C25" w:rsidRPr="00FC3F91" w:rsidRDefault="001D1C25" w:rsidP="00DC1BCD">
            <w:pPr>
              <w:pStyle w:val="TableBody"/>
              <w:rPr>
                <w:sz w:val="22"/>
              </w:rPr>
            </w:pPr>
            <w:r w:rsidRPr="00FC3F91">
              <w:rPr>
                <w:sz w:val="22"/>
              </w:rPr>
              <w:t>Expand the Visiting Optometrists Scheme (VOS)</w:t>
            </w:r>
            <w:r w:rsidR="00227131">
              <w:rPr>
                <w:sz w:val="22"/>
              </w:rPr>
              <w:t>.</w:t>
            </w:r>
          </w:p>
        </w:tc>
        <w:tc>
          <w:tcPr>
            <w:tcW w:w="988" w:type="dxa"/>
          </w:tcPr>
          <w:p w14:paraId="21DB3061" w14:textId="77777777" w:rsidR="001D1C25" w:rsidRPr="00FC3F91" w:rsidRDefault="00B40C79" w:rsidP="00DC1BCD">
            <w:pPr>
              <w:pStyle w:val="TableBody"/>
              <w:jc w:val="right"/>
              <w:rPr>
                <w:sz w:val="22"/>
              </w:rPr>
            </w:pPr>
            <w:r>
              <w:rPr>
                <w:sz w:val="22"/>
              </w:rPr>
              <w:t>18.10</w:t>
            </w:r>
          </w:p>
        </w:tc>
        <w:tc>
          <w:tcPr>
            <w:tcW w:w="4958" w:type="dxa"/>
          </w:tcPr>
          <w:p w14:paraId="70DBB9E6" w14:textId="77777777" w:rsidR="001D1C25" w:rsidRPr="00FC3F91" w:rsidRDefault="00B40C79" w:rsidP="00DC1BCD">
            <w:pPr>
              <w:pStyle w:val="TableBody"/>
              <w:rPr>
                <w:sz w:val="22"/>
              </w:rPr>
            </w:pPr>
            <w:r>
              <w:rPr>
                <w:sz w:val="22"/>
              </w:rPr>
              <w:t>71,250</w:t>
            </w:r>
            <w:r w:rsidR="001D1C25" w:rsidRPr="00FC3F91">
              <w:rPr>
                <w:sz w:val="22"/>
              </w:rPr>
              <w:t xml:space="preserve"> additional optometry outreach services supported over </w:t>
            </w:r>
            <w:r>
              <w:rPr>
                <w:sz w:val="22"/>
              </w:rPr>
              <w:t>5</w:t>
            </w:r>
            <w:r w:rsidR="001D1C25" w:rsidRPr="00FC3F91">
              <w:rPr>
                <w:sz w:val="22"/>
              </w:rPr>
              <w:t xml:space="preserve"> years</w:t>
            </w:r>
            <w:r w:rsidR="00227131">
              <w:rPr>
                <w:sz w:val="22"/>
              </w:rPr>
              <w:t>.</w:t>
            </w:r>
          </w:p>
        </w:tc>
      </w:tr>
      <w:tr w:rsidR="001D1C25" w:rsidRPr="00FC3F91" w14:paraId="53D9DE5C" w14:textId="77777777" w:rsidTr="005147D7">
        <w:tc>
          <w:tcPr>
            <w:tcW w:w="3260" w:type="dxa"/>
          </w:tcPr>
          <w:p w14:paraId="60C41076" w14:textId="77777777" w:rsidR="001D1C25" w:rsidRPr="00FC3F91" w:rsidRDefault="001D1C25" w:rsidP="00DC1BCD">
            <w:pPr>
              <w:pStyle w:val="TableBody"/>
              <w:rPr>
                <w:sz w:val="22"/>
              </w:rPr>
            </w:pPr>
            <w:r w:rsidRPr="00FC3F91">
              <w:rPr>
                <w:sz w:val="22"/>
              </w:rPr>
              <w:t>Expand the Rural Health Outreach Fund (RHOF)</w:t>
            </w:r>
            <w:r w:rsidR="00227131">
              <w:rPr>
                <w:sz w:val="22"/>
              </w:rPr>
              <w:t>.</w:t>
            </w:r>
          </w:p>
        </w:tc>
        <w:tc>
          <w:tcPr>
            <w:tcW w:w="988" w:type="dxa"/>
          </w:tcPr>
          <w:p w14:paraId="5CB8769A" w14:textId="77777777" w:rsidR="001D1C25" w:rsidRPr="00FC3F91" w:rsidRDefault="00B40C79" w:rsidP="00DC1BCD">
            <w:pPr>
              <w:pStyle w:val="TableBody"/>
              <w:jc w:val="right"/>
              <w:rPr>
                <w:sz w:val="22"/>
              </w:rPr>
            </w:pPr>
            <w:r>
              <w:rPr>
                <w:sz w:val="22"/>
              </w:rPr>
              <w:t>5.47</w:t>
            </w:r>
          </w:p>
        </w:tc>
        <w:tc>
          <w:tcPr>
            <w:tcW w:w="4958" w:type="dxa"/>
          </w:tcPr>
          <w:p w14:paraId="2BAAD5D4" w14:textId="77777777" w:rsidR="001D1C25" w:rsidRPr="00FC3F91" w:rsidRDefault="00B40C79" w:rsidP="00DC1BCD">
            <w:pPr>
              <w:pStyle w:val="TableBody"/>
              <w:rPr>
                <w:sz w:val="22"/>
              </w:rPr>
            </w:pPr>
            <w:r>
              <w:rPr>
                <w:sz w:val="22"/>
              </w:rPr>
              <w:t>12,335</w:t>
            </w:r>
            <w:r w:rsidR="001D1C25" w:rsidRPr="00FC3F91">
              <w:rPr>
                <w:sz w:val="22"/>
              </w:rPr>
              <w:t xml:space="preserve"> additional rural outreach services supported over </w:t>
            </w:r>
            <w:r>
              <w:rPr>
                <w:sz w:val="22"/>
              </w:rPr>
              <w:t>5</w:t>
            </w:r>
            <w:r w:rsidR="001D1C25" w:rsidRPr="00FC3F91">
              <w:rPr>
                <w:sz w:val="22"/>
              </w:rPr>
              <w:t xml:space="preserve"> years. </w:t>
            </w:r>
          </w:p>
        </w:tc>
      </w:tr>
      <w:tr w:rsidR="001D1C25" w:rsidRPr="00E30B9D" w14:paraId="29473F8D" w14:textId="77777777" w:rsidTr="005147D7">
        <w:tc>
          <w:tcPr>
            <w:tcW w:w="3260" w:type="dxa"/>
          </w:tcPr>
          <w:p w14:paraId="68346009" w14:textId="77777777" w:rsidR="001D1C25" w:rsidRPr="005147D7" w:rsidRDefault="001D1C25" w:rsidP="00DC1BCD">
            <w:pPr>
              <w:pStyle w:val="TableBody"/>
              <w:rPr>
                <w:sz w:val="22"/>
              </w:rPr>
            </w:pPr>
            <w:r w:rsidRPr="005147D7">
              <w:rPr>
                <w:sz w:val="22"/>
              </w:rPr>
              <w:t>Fund part time regional implementation managers in 25 regions for 2 years</w:t>
            </w:r>
            <w:r w:rsidR="00227131">
              <w:rPr>
                <w:sz w:val="22"/>
              </w:rPr>
              <w:t>.</w:t>
            </w:r>
          </w:p>
        </w:tc>
        <w:tc>
          <w:tcPr>
            <w:tcW w:w="988" w:type="dxa"/>
          </w:tcPr>
          <w:p w14:paraId="3C5539B2" w14:textId="77777777" w:rsidR="001D1C25" w:rsidRPr="005147D7" w:rsidRDefault="001D1C25" w:rsidP="00755BD0">
            <w:pPr>
              <w:pStyle w:val="TableBody"/>
              <w:jc w:val="right"/>
              <w:rPr>
                <w:sz w:val="22"/>
              </w:rPr>
            </w:pPr>
            <w:r w:rsidRPr="005147D7">
              <w:rPr>
                <w:sz w:val="22"/>
              </w:rPr>
              <w:t>5.06</w:t>
            </w:r>
          </w:p>
        </w:tc>
        <w:tc>
          <w:tcPr>
            <w:tcW w:w="4958" w:type="dxa"/>
          </w:tcPr>
          <w:p w14:paraId="2C93483E" w14:textId="77777777" w:rsidR="001D1C25" w:rsidRPr="005147D7" w:rsidRDefault="001D1C25" w:rsidP="00DC1BCD">
            <w:pPr>
              <w:pStyle w:val="TableBody"/>
              <w:rPr>
                <w:sz w:val="22"/>
              </w:rPr>
            </w:pPr>
            <w:r w:rsidRPr="005147D7">
              <w:rPr>
                <w:sz w:val="22"/>
              </w:rPr>
              <w:t>25 part time managers employed</w:t>
            </w:r>
            <w:r w:rsidR="00702753">
              <w:rPr>
                <w:sz w:val="22"/>
              </w:rPr>
              <w:t xml:space="preserve"> for two years</w:t>
            </w:r>
            <w:r w:rsidRPr="005147D7">
              <w:rPr>
                <w:sz w:val="22"/>
              </w:rPr>
              <w:t>, enhancing local eye care</w:t>
            </w:r>
            <w:r w:rsidR="004F1E63">
              <w:rPr>
                <w:sz w:val="22"/>
              </w:rPr>
              <w:t xml:space="preserve"> pathways</w:t>
            </w:r>
            <w:r w:rsidRPr="005147D7">
              <w:rPr>
                <w:sz w:val="22"/>
              </w:rPr>
              <w:t xml:space="preserve"> in 25 target regions</w:t>
            </w:r>
            <w:r w:rsidR="00227131">
              <w:rPr>
                <w:sz w:val="22"/>
              </w:rPr>
              <w:t>.</w:t>
            </w:r>
          </w:p>
        </w:tc>
      </w:tr>
      <w:tr w:rsidR="001D1C25" w:rsidRPr="00E30B9D" w14:paraId="07F33587" w14:textId="77777777" w:rsidTr="005147D7">
        <w:tc>
          <w:tcPr>
            <w:tcW w:w="3260" w:type="dxa"/>
          </w:tcPr>
          <w:p w14:paraId="2D5DD393" w14:textId="77777777" w:rsidR="001D1C25" w:rsidRPr="005147D7" w:rsidRDefault="001D1C25" w:rsidP="00DC1BCD">
            <w:pPr>
              <w:pStyle w:val="TableBody"/>
              <w:rPr>
                <w:b/>
                <w:sz w:val="22"/>
              </w:rPr>
            </w:pPr>
            <w:r w:rsidRPr="005147D7">
              <w:rPr>
                <w:b/>
                <w:sz w:val="22"/>
              </w:rPr>
              <w:t>Total Australian Government funding sought</w:t>
            </w:r>
          </w:p>
        </w:tc>
        <w:tc>
          <w:tcPr>
            <w:tcW w:w="988" w:type="dxa"/>
          </w:tcPr>
          <w:p w14:paraId="038A6F98" w14:textId="77777777" w:rsidR="001D1C25" w:rsidRPr="005147D7" w:rsidRDefault="00B40C79" w:rsidP="00755BD0">
            <w:pPr>
              <w:pStyle w:val="TableBody"/>
              <w:jc w:val="right"/>
              <w:rPr>
                <w:b/>
                <w:sz w:val="22"/>
              </w:rPr>
            </w:pPr>
            <w:r>
              <w:rPr>
                <w:b/>
                <w:sz w:val="22"/>
              </w:rPr>
              <w:t>70.17</w:t>
            </w:r>
            <w:r w:rsidR="002447C1">
              <w:rPr>
                <w:b/>
                <w:sz w:val="22"/>
              </w:rPr>
              <w:t>*</w:t>
            </w:r>
          </w:p>
        </w:tc>
        <w:tc>
          <w:tcPr>
            <w:tcW w:w="4958" w:type="dxa"/>
          </w:tcPr>
          <w:p w14:paraId="70E7CEBE" w14:textId="77777777" w:rsidR="001D1C25" w:rsidRPr="005147D7" w:rsidRDefault="001D1C25" w:rsidP="00DC1BCD">
            <w:pPr>
              <w:pStyle w:val="TableBody"/>
              <w:rPr>
                <w:sz w:val="22"/>
              </w:rPr>
            </w:pPr>
          </w:p>
        </w:tc>
      </w:tr>
    </w:tbl>
    <w:p w14:paraId="1859421B" w14:textId="77777777" w:rsidR="00BE7855" w:rsidRDefault="002447C1" w:rsidP="002447C1">
      <w:pPr>
        <w:pStyle w:val="BodyText"/>
        <w:spacing w:before="0" w:after="0" w:line="240" w:lineRule="auto"/>
        <w:rPr>
          <w:b/>
          <w:sz w:val="24"/>
        </w:rPr>
      </w:pPr>
      <w:r>
        <w:rPr>
          <w:b/>
          <w:sz w:val="24"/>
        </w:rPr>
        <w:t>*</w:t>
      </w:r>
      <w:r w:rsidRPr="002447C1">
        <w:rPr>
          <w:sz w:val="16"/>
          <w:szCs w:val="16"/>
        </w:rPr>
        <w:t xml:space="preserve">The total budget </w:t>
      </w:r>
      <w:proofErr w:type="gramStart"/>
      <w:r w:rsidRPr="002447C1">
        <w:rPr>
          <w:sz w:val="16"/>
          <w:szCs w:val="16"/>
        </w:rPr>
        <w:t>ask</w:t>
      </w:r>
      <w:proofErr w:type="gramEnd"/>
      <w:r w:rsidRPr="002447C1">
        <w:rPr>
          <w:sz w:val="16"/>
          <w:szCs w:val="16"/>
        </w:rPr>
        <w:t xml:space="preserve"> for Strong Eyes, Strong Communities over 5 years is $85.5m</w:t>
      </w:r>
      <w:r>
        <w:rPr>
          <w:sz w:val="16"/>
          <w:szCs w:val="16"/>
        </w:rPr>
        <w:t>. That</w:t>
      </w:r>
      <w:r w:rsidRPr="002447C1">
        <w:rPr>
          <w:sz w:val="16"/>
          <w:szCs w:val="16"/>
        </w:rPr>
        <w:t xml:space="preserve"> includes both state and territory funding for expansion of subsidised glasses schemes and the National Eye Health Survey which is a separate element of this submission. The ask of $70.17m </w:t>
      </w:r>
      <w:r>
        <w:rPr>
          <w:sz w:val="16"/>
          <w:szCs w:val="16"/>
        </w:rPr>
        <w:t xml:space="preserve">in this submission </w:t>
      </w:r>
      <w:r w:rsidRPr="002447C1">
        <w:rPr>
          <w:sz w:val="16"/>
          <w:szCs w:val="16"/>
        </w:rPr>
        <w:t xml:space="preserve">represents the total once these items are removed. </w:t>
      </w:r>
    </w:p>
    <w:p w14:paraId="3349B2EB" w14:textId="77777777" w:rsidR="00AA5D9C" w:rsidRPr="005147D7" w:rsidRDefault="008B10F9" w:rsidP="008F4BAD">
      <w:pPr>
        <w:pStyle w:val="BodyText"/>
        <w:rPr>
          <w:b/>
          <w:sz w:val="24"/>
        </w:rPr>
      </w:pPr>
      <w:r w:rsidRPr="005147D7">
        <w:rPr>
          <w:b/>
          <w:sz w:val="24"/>
        </w:rPr>
        <w:lastRenderedPageBreak/>
        <w:t xml:space="preserve">What will the investment deliver? </w:t>
      </w:r>
    </w:p>
    <w:p w14:paraId="2D61A22F" w14:textId="77777777" w:rsidR="00BC1F83" w:rsidRPr="00E62EA0" w:rsidRDefault="008B10F9" w:rsidP="00E62EA0">
      <w:pPr>
        <w:pStyle w:val="BodyText"/>
        <w:rPr>
          <w:b/>
        </w:rPr>
      </w:pPr>
      <w:r w:rsidRPr="00E62EA0">
        <w:rPr>
          <w:b/>
        </w:rPr>
        <w:t>More</w:t>
      </w:r>
      <w:r w:rsidR="001D1C25" w:rsidRPr="00E62EA0">
        <w:rPr>
          <w:b/>
        </w:rPr>
        <w:t xml:space="preserve"> </w:t>
      </w:r>
      <w:r w:rsidR="00B40C79" w:rsidRPr="00E62EA0">
        <w:rPr>
          <w:b/>
        </w:rPr>
        <w:t>ACCHO</w:t>
      </w:r>
      <w:r w:rsidR="001D1C25" w:rsidRPr="00E62EA0">
        <w:rPr>
          <w:b/>
        </w:rPr>
        <w:t xml:space="preserve"> led eye care models and staff training </w:t>
      </w:r>
    </w:p>
    <w:p w14:paraId="1597C37D" w14:textId="77777777" w:rsidR="00BC1F83" w:rsidRDefault="00E873F9" w:rsidP="00F7234E">
      <w:pPr>
        <w:pStyle w:val="BodyText"/>
        <w:spacing w:after="0"/>
      </w:pPr>
      <w:r>
        <w:t xml:space="preserve">Part of the funding sought will support </w:t>
      </w:r>
      <w:r w:rsidR="00BC1F83">
        <w:t>ACCHOs to embed eye health into primary care</w:t>
      </w:r>
      <w:r>
        <w:t>. Specific initiatives will:</w:t>
      </w:r>
    </w:p>
    <w:p w14:paraId="7A3340CA" w14:textId="77777777" w:rsidR="00BC1F83" w:rsidRDefault="00B61F49" w:rsidP="00F7234E">
      <w:pPr>
        <w:pStyle w:val="BodyText"/>
        <w:numPr>
          <w:ilvl w:val="0"/>
          <w:numId w:val="17"/>
        </w:numPr>
        <w:spacing w:before="60" w:after="60"/>
      </w:pPr>
      <w:r>
        <w:t xml:space="preserve">Fund </w:t>
      </w:r>
      <w:r w:rsidR="006C457A">
        <w:t>eye health</w:t>
      </w:r>
      <w:r>
        <w:t xml:space="preserve"> training for </w:t>
      </w:r>
      <w:r w:rsidR="006C457A">
        <w:t xml:space="preserve">staff </w:t>
      </w:r>
      <w:r>
        <w:t>in each ACCHO</w:t>
      </w:r>
      <w:r w:rsidR="00BC1F83">
        <w:t xml:space="preserve"> across Australia</w:t>
      </w:r>
      <w:r w:rsidR="006C457A">
        <w:t>, to enhance their knowledge of common conditions and both risk factors and treatment pathways for these.</w:t>
      </w:r>
    </w:p>
    <w:p w14:paraId="1B496FEF" w14:textId="77777777" w:rsidR="00BC1F83" w:rsidRDefault="00BC1F83" w:rsidP="00F7234E">
      <w:pPr>
        <w:pStyle w:val="BodyText"/>
        <w:numPr>
          <w:ilvl w:val="0"/>
          <w:numId w:val="17"/>
        </w:numPr>
        <w:spacing w:before="60" w:after="60"/>
      </w:pPr>
      <w:r>
        <w:t>Pilot three locally designed and led ACCHO led models of eye health care to continue to improve practice and provide an evidence base for what works.</w:t>
      </w:r>
    </w:p>
    <w:p w14:paraId="6B57E2B0" w14:textId="77777777" w:rsidR="006C457A" w:rsidRDefault="006C457A" w:rsidP="00E866F3">
      <w:pPr>
        <w:pStyle w:val="BodyText"/>
      </w:pPr>
      <w:r>
        <w:t xml:space="preserve">This will support earlier identification of people at risk of vision loss and provide more local, ongoing support for people who are being monitored or treated for those conditions. Importantly, it will also support the embedding of eye health into broader models of primary care, supporting integration at a local level. </w:t>
      </w:r>
    </w:p>
    <w:p w14:paraId="25A062FD" w14:textId="77777777" w:rsidR="00BC1F83" w:rsidRPr="00E62EA0" w:rsidRDefault="00E62EA0" w:rsidP="00E62EA0">
      <w:pPr>
        <w:pStyle w:val="BodyText"/>
        <w:rPr>
          <w:b/>
        </w:rPr>
      </w:pPr>
      <w:r>
        <w:rPr>
          <w:b/>
        </w:rPr>
        <w:t>Equipment</w:t>
      </w:r>
      <w:r w:rsidR="001D1C25" w:rsidRPr="00E62EA0">
        <w:rPr>
          <w:b/>
        </w:rPr>
        <w:t xml:space="preserve"> to support more local, accessible eye care</w:t>
      </w:r>
    </w:p>
    <w:p w14:paraId="150250DD" w14:textId="77777777" w:rsidR="00BC1F83" w:rsidRDefault="00BC1F83" w:rsidP="005147D7">
      <w:pPr>
        <w:pStyle w:val="BodyText"/>
      </w:pPr>
      <w:r>
        <w:t xml:space="preserve">The </w:t>
      </w:r>
      <w:r w:rsidR="00F04A8E">
        <w:t>F</w:t>
      </w:r>
      <w:r>
        <w:t xml:space="preserve">inal </w:t>
      </w:r>
      <w:r w:rsidR="00F04A8E">
        <w:t>R</w:t>
      </w:r>
      <w:r>
        <w:t>eport of the National Eye Health Care Equipment Inventory Project (NE</w:t>
      </w:r>
      <w:r w:rsidR="00BE7855">
        <w:t>H</w:t>
      </w:r>
      <w:r>
        <w:t>CEIP) demonstrated that the most needed items of equipment are</w:t>
      </w:r>
      <w:r w:rsidR="001D1C25">
        <w:t xml:space="preserve"> s</w:t>
      </w:r>
      <w:r>
        <w:t>lit lamps (at least 25% of services have no access)</w:t>
      </w:r>
      <w:r w:rsidR="001D1C25">
        <w:t xml:space="preserve"> and </w:t>
      </w:r>
      <w:r>
        <w:t>Ocular Coherence Tomography (OCT) machines (at least 25% of services have no access).</w:t>
      </w:r>
      <w:r w:rsidR="00E873F9">
        <w:t xml:space="preserve"> The funding</w:t>
      </w:r>
      <w:r w:rsidR="006C457A">
        <w:t xml:space="preserve"> will </w:t>
      </w:r>
      <w:r w:rsidR="00E873F9">
        <w:t xml:space="preserve">support distribution of slit lamps and OCT units in priority regions and services, reducing the </w:t>
      </w:r>
      <w:r w:rsidR="00A8609F">
        <w:t>ne</w:t>
      </w:r>
      <w:r w:rsidR="00E873F9">
        <w:t xml:space="preserve">ed for people to leave their local communities to access the eye care they </w:t>
      </w:r>
      <w:r w:rsidR="00BE7855">
        <w:t>require</w:t>
      </w:r>
      <w:r w:rsidR="00752184">
        <w:t>,</w:t>
      </w:r>
      <w:r w:rsidR="00A8609F">
        <w:t xml:space="preserve"> which has been identified as a significant</w:t>
      </w:r>
      <w:r w:rsidR="00BE7855">
        <w:t>,</w:t>
      </w:r>
      <w:r w:rsidR="00A8609F">
        <w:t xml:space="preserve"> current barrier to access. </w:t>
      </w:r>
      <w:r w:rsidR="006C457A">
        <w:t xml:space="preserve">The investment in ACCHO workforce training will complement this, </w:t>
      </w:r>
      <w:r w:rsidR="00C958F1">
        <w:t xml:space="preserve">as increasing the eye-specific skills of ACCHO staff will support greater use of this equipment in eye care. </w:t>
      </w:r>
    </w:p>
    <w:p w14:paraId="14E4F6AB" w14:textId="77777777" w:rsidR="00BC1F83" w:rsidRPr="00E62EA0" w:rsidRDefault="00BC1F83" w:rsidP="00E62EA0">
      <w:pPr>
        <w:pStyle w:val="BodyText"/>
        <w:rPr>
          <w:b/>
        </w:rPr>
      </w:pPr>
      <w:r w:rsidRPr="00E62EA0">
        <w:rPr>
          <w:b/>
        </w:rPr>
        <w:t xml:space="preserve">Local </w:t>
      </w:r>
      <w:r w:rsidR="001D1C25" w:rsidRPr="00E62EA0">
        <w:rPr>
          <w:b/>
        </w:rPr>
        <w:t>case management and support</w:t>
      </w:r>
    </w:p>
    <w:p w14:paraId="2ED7C36E" w14:textId="77777777" w:rsidR="00BC1F83" w:rsidRDefault="00E873F9" w:rsidP="00BE7855">
      <w:pPr>
        <w:pStyle w:val="BodyText"/>
      </w:pPr>
      <w:r>
        <w:t xml:space="preserve">Many organisations and individual health workers consulted during development of </w:t>
      </w:r>
      <w:r w:rsidRPr="005147D7">
        <w:rPr>
          <w:i/>
        </w:rPr>
        <w:t xml:space="preserve">Strong Eyes, Strong Communities </w:t>
      </w:r>
      <w:r>
        <w:t xml:space="preserve">identified the absence of local support workers as a barrier to maximising system efficiency and keeping Aboriginal and Torres Strait Islander people engaged in eye care from diagnosis through to treatment. </w:t>
      </w:r>
      <w:r w:rsidR="00BC1F83">
        <w:t xml:space="preserve"> </w:t>
      </w:r>
      <w:r>
        <w:t xml:space="preserve">Such roles would drive stronger connections to local services, helping embed eye care in broader primary health, as well as increasing </w:t>
      </w:r>
      <w:r w:rsidR="00BC1F83">
        <w:t>the effectiveness of outreach program funding (VOS and RHOF).</w:t>
      </w:r>
    </w:p>
    <w:p w14:paraId="26712D7A" w14:textId="77777777" w:rsidR="001D1C25" w:rsidRPr="00E62EA0" w:rsidRDefault="00E62EA0" w:rsidP="00E62EA0">
      <w:pPr>
        <w:pStyle w:val="BodyText"/>
        <w:rPr>
          <w:b/>
        </w:rPr>
      </w:pPr>
      <w:r>
        <w:rPr>
          <w:b/>
        </w:rPr>
        <w:t>More</w:t>
      </w:r>
      <w:r w:rsidR="001D1C25" w:rsidRPr="00E62EA0">
        <w:rPr>
          <w:b/>
        </w:rPr>
        <w:t xml:space="preserve"> outreach services (VOS, RHOF)</w:t>
      </w:r>
    </w:p>
    <w:p w14:paraId="5EEA64FB" w14:textId="77777777" w:rsidR="00FB08C2" w:rsidRDefault="00E873F9" w:rsidP="005147D7">
      <w:pPr>
        <w:pStyle w:val="BodyText"/>
      </w:pPr>
      <w:r>
        <w:t>Data analysis indicates that there is a need to significantly scale</w:t>
      </w:r>
      <w:r w:rsidR="00752184">
        <w:t>-</w:t>
      </w:r>
      <w:r>
        <w:t>up existing outreach services (</w:t>
      </w:r>
      <w:r w:rsidR="00FB08C2">
        <w:t xml:space="preserve">the </w:t>
      </w:r>
      <w:r>
        <w:t xml:space="preserve">Visiting Optometrists Scheme and </w:t>
      </w:r>
      <w:r w:rsidR="00FB08C2">
        <w:t xml:space="preserve">the </w:t>
      </w:r>
      <w:r>
        <w:t xml:space="preserve">Rural Health Outreach </w:t>
      </w:r>
      <w:r w:rsidR="00FB08C2">
        <w:t xml:space="preserve">Fund) to meet population need. Around </w:t>
      </w:r>
      <w:r w:rsidR="00B40C79">
        <w:t>21,000</w:t>
      </w:r>
      <w:r w:rsidR="00FB08C2">
        <w:t xml:space="preserve"> extra VOS-supported eye examinations are needed per year, and with this will be a need for some more modest growth in RHOF funding. Scaling up these outreach services is integral to achieving the goal of ending avoidable blindness in Aboriginal and Torres Strait Islander communities, and this scale</w:t>
      </w:r>
      <w:r w:rsidR="00752184">
        <w:t>-</w:t>
      </w:r>
      <w:r w:rsidR="00FB08C2">
        <w:t xml:space="preserve">up needs to commence in the short term to achieve the medium to longer term benefits of such investment. </w:t>
      </w:r>
    </w:p>
    <w:p w14:paraId="6130CBD8" w14:textId="77777777" w:rsidR="001D1C25" w:rsidRPr="00E62EA0" w:rsidRDefault="00E62EA0" w:rsidP="00E62EA0">
      <w:pPr>
        <w:pStyle w:val="BodyText"/>
        <w:rPr>
          <w:b/>
        </w:rPr>
      </w:pPr>
      <w:r>
        <w:rPr>
          <w:b/>
        </w:rPr>
        <w:t>L</w:t>
      </w:r>
      <w:r w:rsidR="001D1C25" w:rsidRPr="00E62EA0">
        <w:rPr>
          <w:b/>
        </w:rPr>
        <w:t>ocally responsive eye care</w:t>
      </w:r>
    </w:p>
    <w:p w14:paraId="2809156E" w14:textId="77777777" w:rsidR="00E62EA0" w:rsidRDefault="00FB08C2" w:rsidP="002447C1">
      <w:pPr>
        <w:pStyle w:val="BodyText"/>
      </w:pPr>
      <w:r>
        <w:t xml:space="preserve">Local systems and community needs vary across Australia, and regional co-ordinators play a key role in helping </w:t>
      </w:r>
      <w:r w:rsidR="00752184">
        <w:t xml:space="preserve">to </w:t>
      </w:r>
      <w:r>
        <w:t>maximis</w:t>
      </w:r>
      <w:r w:rsidR="00752184">
        <w:t>e</w:t>
      </w:r>
      <w:r>
        <w:t xml:space="preserve"> existing service capacity, identifying service gaps and ensuring local needs are met. Funding to support 25 part-time regional implementation managers is needed to help ensure that across Australia, all Aboriginal and Torres Strait islander communities can benefit from this more locally driven and responsive approach. </w:t>
      </w:r>
    </w:p>
    <w:p w14:paraId="7F87EF61" w14:textId="77777777" w:rsidR="00AA5D9C" w:rsidRDefault="00AA5D9C" w:rsidP="00AA5D9C">
      <w:pPr>
        <w:pStyle w:val="Heading2"/>
      </w:pPr>
      <w:bookmarkStart w:id="8" w:name="_Toc27475927"/>
      <w:r>
        <w:lastRenderedPageBreak/>
        <w:t>Improve access to assistive technology for people who are blind or have low vision</w:t>
      </w:r>
      <w:bookmarkEnd w:id="8"/>
    </w:p>
    <w:p w14:paraId="1CF754F3" w14:textId="77777777" w:rsidR="00AA5D9C" w:rsidRDefault="00AA5D9C" w:rsidP="00AA5D9C">
      <w:pPr>
        <w:pStyle w:val="BodyText"/>
      </w:pPr>
      <w:r>
        <w:t>Vision 2020 Australia members</w:t>
      </w:r>
      <w:r w:rsidR="00F46A4B">
        <w:t xml:space="preserve"> </w:t>
      </w:r>
      <w:r>
        <w:t>work</w:t>
      </w:r>
      <w:r w:rsidR="00F46A4B">
        <w:t>ing</w:t>
      </w:r>
      <w:r>
        <w:t xml:space="preserve"> with people who are blind or vision impaired have identified funding</w:t>
      </w:r>
      <w:r w:rsidR="00752184">
        <w:t xml:space="preserve"> of</w:t>
      </w:r>
      <w:r>
        <w:t xml:space="preserve"> assistive technologies as a critical priority for increasing social and economic participation.</w:t>
      </w:r>
      <w:r w:rsidR="00852405">
        <w:t xml:space="preserve"> </w:t>
      </w:r>
    </w:p>
    <w:p w14:paraId="5782B9BB" w14:textId="77777777" w:rsidR="00852405" w:rsidRDefault="00852405" w:rsidP="00852405">
      <w:pPr>
        <w:pStyle w:val="BodyText"/>
      </w:pPr>
      <w:r>
        <w:t xml:space="preserve">Timely access to appropriate aids and assistive technology can lead to considerable health and socio-economic benefits, by keeping Australians in employment and/or independent within their own homes. Low vision aids have the potential to enable people to remain independent and self-manage activities of daily living and/or maintain a high level of independence and function.  </w:t>
      </w:r>
    </w:p>
    <w:p w14:paraId="4D1C1166" w14:textId="77777777" w:rsidR="00AA5D9C" w:rsidRDefault="004B3B63" w:rsidP="00852405">
      <w:pPr>
        <w:pStyle w:val="BodyText"/>
      </w:pPr>
      <w:r>
        <w:t>T</w:t>
      </w:r>
      <w:r w:rsidR="00AA5D9C">
        <w:t>he effectiveness of assistive technologies continue</w:t>
      </w:r>
      <w:r>
        <w:t xml:space="preserve">s </w:t>
      </w:r>
      <w:r w:rsidR="00AA5D9C">
        <w:t xml:space="preserve">to </w:t>
      </w:r>
      <w:r>
        <w:t xml:space="preserve">grow, but key </w:t>
      </w:r>
      <w:r w:rsidR="00AA5D9C">
        <w:t>barriers prevent the vast majority of people with vision impairment from accessing these transformative innovations</w:t>
      </w:r>
      <w:r w:rsidR="00852405">
        <w:t xml:space="preserve"> and it is currently estimated that only </w:t>
      </w:r>
      <w:r w:rsidR="00AA5D9C">
        <w:t xml:space="preserve">15% of people with low vision </w:t>
      </w:r>
      <w:r>
        <w:t xml:space="preserve">have </w:t>
      </w:r>
      <w:r w:rsidR="00AA5D9C">
        <w:t>access</w:t>
      </w:r>
      <w:r>
        <w:t xml:space="preserve"> to</w:t>
      </w:r>
      <w:r w:rsidR="00AA5D9C">
        <w:t xml:space="preserve"> low vision aids.</w:t>
      </w:r>
      <w:r w:rsidR="00AA5D9C">
        <w:rPr>
          <w:rStyle w:val="FootnoteReference"/>
        </w:rPr>
        <w:footnoteReference w:id="3"/>
      </w:r>
    </w:p>
    <w:p w14:paraId="48D4676C" w14:textId="77777777" w:rsidR="00FB08C2" w:rsidRDefault="00852405" w:rsidP="00AA5D9C">
      <w:pPr>
        <w:pStyle w:val="BodyText"/>
      </w:pPr>
      <w:r>
        <w:t>Under current policy and program settings, there is limited access to government subsidised assistive technology. El</w:t>
      </w:r>
      <w:r w:rsidR="00AA5D9C">
        <w:t xml:space="preserve">igible participants </w:t>
      </w:r>
      <w:r w:rsidR="00752184">
        <w:t>o</w:t>
      </w:r>
      <w:r w:rsidR="00AA5D9C">
        <w:t>n the National Disability Insurance Scheme (NDIS) can access fully funded aids and equipment if the aid is assessed as being “reasonable and necessary”</w:t>
      </w:r>
      <w:r>
        <w:t xml:space="preserve"> and there is limited access to funded support for the over 65s through the aged care system</w:t>
      </w:r>
      <w:r w:rsidR="00FB08C2">
        <w:t>.</w:t>
      </w:r>
      <w:r w:rsidR="00431E66">
        <w:t xml:space="preserve"> Additionally, funding caps within the CHSP program limit assistive technology spending to $500 per person per annum.</w:t>
      </w:r>
    </w:p>
    <w:p w14:paraId="17906D42" w14:textId="77777777" w:rsidR="00FB08C2" w:rsidRDefault="00FB08C2" w:rsidP="00AA5D9C">
      <w:pPr>
        <w:pStyle w:val="BodyText"/>
      </w:pPr>
      <w:r>
        <w:t xml:space="preserve">Where government-funded support is not available the cost of assistive technologies can be a significant barrier </w:t>
      </w:r>
      <w:r w:rsidR="00852405">
        <w:t xml:space="preserve">to accessing these important aids. In addition, other barriers (such as low levels of cultural safety) can prevent priority groups such as Aboriginal and Torres Strait Islander people accessing the equipment they need. </w:t>
      </w:r>
    </w:p>
    <w:p w14:paraId="1ABC3A58" w14:textId="77777777" w:rsidR="00852405" w:rsidRPr="00CB6FF1" w:rsidRDefault="00852405" w:rsidP="00CB6FF1">
      <w:pPr>
        <w:pStyle w:val="BodyText"/>
      </w:pPr>
      <w:r w:rsidRPr="00CB6FF1">
        <w:t>There is a need to develop a deeper, shared understanding across government of how AT in the blindness and low vision area can maximise these benefits, across all age cohort</w:t>
      </w:r>
      <w:r w:rsidR="00CB6FF1" w:rsidRPr="00CB6FF1">
        <w:t>s. Further work is needed study to examine these across both the disability and aged care sector and identify how the opportunities and benefits assistive technology can provide can be maximised to drive</w:t>
      </w:r>
      <w:r w:rsidRPr="00CB6FF1">
        <w:t xml:space="preserve"> significant economic and social returns to </w:t>
      </w:r>
      <w:r w:rsidR="00CB6FF1" w:rsidRPr="00CB6FF1">
        <w:t xml:space="preserve">Australians living with blindness or low vision, </w:t>
      </w:r>
      <w:r w:rsidRPr="00CB6FF1">
        <w:t xml:space="preserve">their families and communities, and the broader economy. </w:t>
      </w:r>
    </w:p>
    <w:p w14:paraId="421712BE" w14:textId="77777777" w:rsidR="00852405" w:rsidRDefault="00852405" w:rsidP="00AA5D9C">
      <w:pPr>
        <w:pStyle w:val="BodyText"/>
      </w:pPr>
    </w:p>
    <w:p w14:paraId="0A36D586" w14:textId="77777777" w:rsidR="00AA5D9C" w:rsidRDefault="00AA5D9C" w:rsidP="002D008C">
      <w:pPr>
        <w:pStyle w:val="Heading3"/>
      </w:pPr>
      <w:r>
        <w:t>Priority for 20</w:t>
      </w:r>
      <w:r w:rsidR="002D008C">
        <w:t>20-21 b</w:t>
      </w:r>
      <w:r>
        <w:t>udget investment</w:t>
      </w:r>
    </w:p>
    <w:p w14:paraId="74AA28A1" w14:textId="77777777" w:rsidR="00431E66" w:rsidRDefault="00FB08C2" w:rsidP="008436A9">
      <w:pPr>
        <w:pStyle w:val="BodyText"/>
      </w:pPr>
      <w:r>
        <w:t xml:space="preserve">Enhance </w:t>
      </w:r>
      <w:r w:rsidR="008436A9">
        <w:t xml:space="preserve">early access to, and provision of, assistive technology through both the National Disability Insurance Scheme and the aged care system for people who are blind or have low vision. </w:t>
      </w:r>
    </w:p>
    <w:p w14:paraId="3EE5961C" w14:textId="77777777" w:rsidR="00CB6FF1" w:rsidRDefault="00CB6FF1" w:rsidP="008436A9">
      <w:pPr>
        <w:pStyle w:val="BodyText"/>
      </w:pPr>
      <w:r>
        <w:t xml:space="preserve">Support cross disability/aged care sector research to identify how the opportunities and benefits assistive technology can deliver can be maximised for people living with blindness or low vision, their communities and the broader economy and workforce.  </w:t>
      </w:r>
    </w:p>
    <w:p w14:paraId="08BC8020" w14:textId="77777777" w:rsidR="004B3B63" w:rsidRDefault="004B3B63">
      <w:pPr>
        <w:spacing w:before="80" w:after="80"/>
        <w:rPr>
          <w:rFonts w:eastAsia="Times New Roman" w:cs="Times New Roman"/>
          <w:szCs w:val="24"/>
          <w:lang w:eastAsia="en-AU"/>
        </w:rPr>
      </w:pPr>
      <w:r>
        <w:br w:type="page"/>
      </w:r>
    </w:p>
    <w:p w14:paraId="428BF7D5" w14:textId="77777777" w:rsidR="002D008C" w:rsidRDefault="002D008C" w:rsidP="002D008C">
      <w:pPr>
        <w:pStyle w:val="Heading2"/>
      </w:pPr>
      <w:bookmarkStart w:id="9" w:name="_Toc27475928"/>
      <w:r>
        <w:lastRenderedPageBreak/>
        <w:t>Fund a second National Eye Health Survey</w:t>
      </w:r>
      <w:bookmarkEnd w:id="9"/>
      <w:r>
        <w:t xml:space="preserve"> </w:t>
      </w:r>
    </w:p>
    <w:p w14:paraId="0EAF86AA" w14:textId="77777777" w:rsidR="002D008C" w:rsidRDefault="002D008C" w:rsidP="002D008C">
      <w:pPr>
        <w:pStyle w:val="BodyText"/>
      </w:pPr>
      <w:r>
        <w:t>The initial National Eye Health Survey</w:t>
      </w:r>
      <w:r w:rsidR="00752184">
        <w:t xml:space="preserve"> conducted</w:t>
      </w:r>
      <w:r>
        <w:t xml:space="preserve"> in 2015 was the first comprehensive national survey of the prevalence and causes of vision impairment and blindness for Australians </w:t>
      </w:r>
      <w:r w:rsidR="00752184">
        <w:t>that</w:t>
      </w:r>
      <w:r>
        <w:t xml:space="preserve"> provided a benchmark against which to measure national progress in eye health and vision care.</w:t>
      </w:r>
    </w:p>
    <w:p w14:paraId="7ECDEAE4" w14:textId="77777777" w:rsidR="002D008C" w:rsidRDefault="002D008C" w:rsidP="002D008C">
      <w:pPr>
        <w:pStyle w:val="BodyText"/>
      </w:pPr>
      <w:r>
        <w:t xml:space="preserve">A number of well documented public health and environmental factors, with associated economic implications, underline the need for </w:t>
      </w:r>
      <w:r w:rsidR="000C5AA9">
        <w:t>a second National Eye Health Survey</w:t>
      </w:r>
      <w:r>
        <w:t>, including:</w:t>
      </w:r>
    </w:p>
    <w:p w14:paraId="3CB92371" w14:textId="77777777" w:rsidR="002D008C" w:rsidRDefault="002D008C" w:rsidP="005147D7">
      <w:pPr>
        <w:pStyle w:val="BodyText"/>
        <w:numPr>
          <w:ilvl w:val="0"/>
          <w:numId w:val="23"/>
        </w:numPr>
      </w:pPr>
      <w:r>
        <w:t>The disparity in major eye disease rates between Aboriginal and Torres Strait Islander people and other Australians, such as diabetic retinopathy and cataract.</w:t>
      </w:r>
    </w:p>
    <w:p w14:paraId="25916E35" w14:textId="77777777" w:rsidR="002D008C" w:rsidRDefault="002D008C" w:rsidP="005147D7">
      <w:pPr>
        <w:pStyle w:val="BodyText"/>
        <w:numPr>
          <w:ilvl w:val="0"/>
          <w:numId w:val="23"/>
        </w:numPr>
      </w:pPr>
      <w:r>
        <w:t>The differences in the prevalence of vision loss between Aboriginal and Torres Strait Islander people and other Australians.</w:t>
      </w:r>
    </w:p>
    <w:p w14:paraId="573DBE05" w14:textId="77777777" w:rsidR="002D008C" w:rsidRDefault="002D008C" w:rsidP="005147D7">
      <w:pPr>
        <w:pStyle w:val="BodyText"/>
        <w:numPr>
          <w:ilvl w:val="0"/>
          <w:numId w:val="23"/>
        </w:numPr>
      </w:pPr>
      <w:r>
        <w:t>The marked increase in our ageing population, where it is estimated that almost 85% of all vision impairment will be among</w:t>
      </w:r>
      <w:r w:rsidR="00752184">
        <w:t>st</w:t>
      </w:r>
      <w:r>
        <w:t xml:space="preserve"> those aged 50 years or more.</w:t>
      </w:r>
    </w:p>
    <w:p w14:paraId="76AFACB1" w14:textId="77777777" w:rsidR="002D008C" w:rsidRDefault="002D008C" w:rsidP="005147D7">
      <w:pPr>
        <w:pStyle w:val="BodyText"/>
        <w:numPr>
          <w:ilvl w:val="0"/>
          <w:numId w:val="23"/>
        </w:numPr>
      </w:pPr>
      <w:r>
        <w:t>The rapid rise in the prevalence of diabetes, and consequently diabetic eye disease.</w:t>
      </w:r>
    </w:p>
    <w:p w14:paraId="4C80EB33" w14:textId="77777777" w:rsidR="000C5AA9" w:rsidRDefault="000C5AA9" w:rsidP="005147D7">
      <w:pPr>
        <w:pStyle w:val="Heading3"/>
      </w:pPr>
      <w:r>
        <w:t>The solution</w:t>
      </w:r>
    </w:p>
    <w:p w14:paraId="08CBE8C2" w14:textId="77777777" w:rsidR="00483945" w:rsidRDefault="002D008C" w:rsidP="002D008C">
      <w:pPr>
        <w:pStyle w:val="BodyText"/>
      </w:pPr>
      <w:r>
        <w:t>It is recommended that the Australian Government fund</w:t>
      </w:r>
      <w:r w:rsidR="000C5AA9">
        <w:t xml:space="preserve"> a second National Eye Health Survey (NEHS2) </w:t>
      </w:r>
      <w:r>
        <w:t xml:space="preserve">to accurately track progress in reducing the burden of blindness and vision impairment. </w:t>
      </w:r>
    </w:p>
    <w:p w14:paraId="11AD1D2A" w14:textId="77777777" w:rsidR="00D279C9" w:rsidRDefault="002D008C" w:rsidP="002D008C">
      <w:pPr>
        <w:pStyle w:val="BodyText"/>
      </w:pPr>
      <w:r>
        <w:t>NEHS</w:t>
      </w:r>
      <w:r w:rsidR="00483945">
        <w:t>2</w:t>
      </w:r>
      <w:r>
        <w:t xml:space="preserve"> will provide </w:t>
      </w:r>
      <w:r w:rsidR="00DF0F02">
        <w:t>a range of data that can be compared to</w:t>
      </w:r>
      <w:r>
        <w:t xml:space="preserve"> </w:t>
      </w:r>
      <w:r w:rsidR="00752184">
        <w:t>that</w:t>
      </w:r>
      <w:r>
        <w:t xml:space="preserve"> collected in 2015, enabling accurate mapping of progress in reducing the burden of vision loss and an effective mechanism to target health care resources effectively.</w:t>
      </w:r>
    </w:p>
    <w:p w14:paraId="3944A10F" w14:textId="77777777" w:rsidR="00483945" w:rsidRDefault="00483945" w:rsidP="00483945">
      <w:pPr>
        <w:pStyle w:val="BodyText"/>
      </w:pPr>
      <w:r>
        <w:t xml:space="preserve">The data collected through this survey will strengthen Australia’s eye health and vision care evidence base, enabling the Australian Government to outline its contribution to achieving the aims set out in the Global Action Plan, and further quantify progress </w:t>
      </w:r>
      <w:r w:rsidR="006C457A">
        <w:t xml:space="preserve">towards ending avoidable blindness in Aboriginal and Torres Strait Islander communities. </w:t>
      </w:r>
      <w:r>
        <w:t xml:space="preserve"> </w:t>
      </w:r>
    </w:p>
    <w:p w14:paraId="18E39D42" w14:textId="77777777" w:rsidR="00483945" w:rsidRDefault="002D008C" w:rsidP="002D008C">
      <w:pPr>
        <w:pStyle w:val="BodyText"/>
      </w:pPr>
      <w:r>
        <w:t>In addition to supporting the evaluation of the impact of existing eye healthcare services, NEHS2 will also guide future resource allocation, policy development and economic analysis for effective service delivery in Australia.</w:t>
      </w:r>
    </w:p>
    <w:p w14:paraId="6F14BA86" w14:textId="77777777" w:rsidR="002D008C" w:rsidRDefault="002D008C" w:rsidP="00E866F3">
      <w:pPr>
        <w:pStyle w:val="BodyText"/>
      </w:pPr>
      <w:r>
        <w:t xml:space="preserve">The completion of this work will enable the collation of </w:t>
      </w:r>
      <w:r w:rsidR="00752184">
        <w:t>high-quality</w:t>
      </w:r>
      <w:r>
        <w:t xml:space="preserve"> national data at two time points which will, for the first time, permit sophisticated projection analysis of the trends in vision impairment and major eye disease in Australia. </w:t>
      </w:r>
      <w:r w:rsidR="00E866F3">
        <w:t xml:space="preserve">It will be a demonstration of </w:t>
      </w:r>
      <w:r w:rsidR="00BE7855">
        <w:t>active partnership</w:t>
      </w:r>
      <w:r>
        <w:t xml:space="preserve"> </w:t>
      </w:r>
      <w:r w:rsidR="00E866F3">
        <w:t xml:space="preserve">between </w:t>
      </w:r>
      <w:r>
        <w:t xml:space="preserve">government, non-government and private sector </w:t>
      </w:r>
      <w:r w:rsidR="00E866F3">
        <w:t xml:space="preserve">organisations, </w:t>
      </w:r>
      <w:r>
        <w:t>working together to deliver mutually beneficial research essential to achieving evidence-based eye health outcomes for all Australians.</w:t>
      </w:r>
    </w:p>
    <w:p w14:paraId="0944A6D0" w14:textId="77777777" w:rsidR="002D008C" w:rsidRDefault="002D008C" w:rsidP="002D008C">
      <w:pPr>
        <w:pStyle w:val="Heading3"/>
      </w:pPr>
      <w:r>
        <w:t>Priority for 2020-21 budget investment</w:t>
      </w:r>
    </w:p>
    <w:p w14:paraId="29C01E0E" w14:textId="77777777" w:rsidR="002D008C" w:rsidRDefault="002D008C" w:rsidP="002D008C">
      <w:pPr>
        <w:pStyle w:val="BodyText"/>
      </w:pPr>
      <w:r>
        <w:t>Funding of $</w:t>
      </w:r>
      <w:r w:rsidR="00161138">
        <w:t>3</w:t>
      </w:r>
      <w:r>
        <w:t>.</w:t>
      </w:r>
      <w:r w:rsidR="00161138">
        <w:t>9</w:t>
      </w:r>
      <w:r w:rsidR="00595FFE">
        <w:t>9</w:t>
      </w:r>
      <w:r>
        <w:t xml:space="preserve"> million over </w:t>
      </w:r>
      <w:r w:rsidR="00D279C9">
        <w:t>2</w:t>
      </w:r>
      <w:r w:rsidR="00161138">
        <w:t xml:space="preserve"> </w:t>
      </w:r>
      <w:r>
        <w:t>years</w:t>
      </w:r>
      <w:r w:rsidR="00D279C9">
        <w:t>, commencing in 2020</w:t>
      </w:r>
      <w:r w:rsidR="00752184">
        <w:t>,</w:t>
      </w:r>
      <w:r w:rsidR="00D279C9">
        <w:t xml:space="preserve"> to</w:t>
      </w:r>
      <w:r>
        <w:t xml:space="preserve"> support the design, delivery and analysis of </w:t>
      </w:r>
      <w:r w:rsidR="00964287">
        <w:t>high-quality</w:t>
      </w:r>
      <w:r w:rsidR="00101E1D">
        <w:t xml:space="preserve"> national data, </w:t>
      </w:r>
      <w:r>
        <w:t>within strategically critical timeframes.</w:t>
      </w:r>
    </w:p>
    <w:p w14:paraId="4A4DC42B" w14:textId="77777777" w:rsidR="002D008C" w:rsidRDefault="002D008C">
      <w:pPr>
        <w:spacing w:before="80" w:after="80"/>
        <w:rPr>
          <w:rFonts w:eastAsia="Times New Roman" w:cs="Times New Roman"/>
          <w:szCs w:val="24"/>
          <w:lang w:eastAsia="en-AU"/>
        </w:rPr>
      </w:pPr>
      <w:r>
        <w:br w:type="page"/>
      </w:r>
    </w:p>
    <w:p w14:paraId="246B9198" w14:textId="77777777" w:rsidR="002D008C" w:rsidRDefault="00E866F3" w:rsidP="002D008C">
      <w:pPr>
        <w:pStyle w:val="Heading2"/>
      </w:pPr>
      <w:bookmarkStart w:id="10" w:name="_Toc27475929"/>
      <w:r>
        <w:lastRenderedPageBreak/>
        <w:t>Getting to 2020 – tackling blindness in PNG</w:t>
      </w:r>
      <w:bookmarkEnd w:id="10"/>
    </w:p>
    <w:p w14:paraId="4DBD443E" w14:textId="77777777" w:rsidR="00870677" w:rsidRDefault="00870677" w:rsidP="00870677">
      <w:pPr>
        <w:pStyle w:val="BodyText"/>
      </w:pPr>
      <w:r>
        <w:t>In the Indo-Pacific region, there are more than 15 million people who are blind and another 82 million people that have a moderate to severe visual impairment. Over the next 20 years, that number is set to rise considerably</w:t>
      </w:r>
      <w:r w:rsidR="00E866F3">
        <w:t xml:space="preserve"> and Vision 2020 Australia members have identified countries including Papua New Guinea, Timor-Leste, the Solomon Islands and Indonesia as some of the priorities for action. </w:t>
      </w:r>
    </w:p>
    <w:p w14:paraId="70EFD80F" w14:textId="77777777" w:rsidR="00F7234E" w:rsidRDefault="00E866F3" w:rsidP="00F7234E">
      <w:pPr>
        <w:pStyle w:val="BodyText"/>
      </w:pPr>
      <w:r>
        <w:t xml:space="preserve">The </w:t>
      </w:r>
      <w:r w:rsidR="000C5AA9">
        <w:t>situation is particularly stark in Papua New Guinea, which has an eye care crisis. It has some of the highest rates of blindness in the world</w:t>
      </w:r>
      <w:r w:rsidR="00D614D5">
        <w:t xml:space="preserve"> -</w:t>
      </w:r>
      <w:r w:rsidR="000C5AA9">
        <w:t xml:space="preserve"> while PNG has less than one third the population of Australia, the size of its population living with blindness is 2-3 times that of Australia’s. </w:t>
      </w:r>
      <w:r w:rsidR="00F7234E">
        <w:t xml:space="preserve">The World Health Organisation has identified the high levels of cataract related blindness in Papua New Guinea as a priority for action within our region. </w:t>
      </w:r>
    </w:p>
    <w:p w14:paraId="3C40B9FA" w14:textId="77777777" w:rsidR="000C5AA9" w:rsidRDefault="000C5AA9" w:rsidP="000C5AA9">
      <w:pPr>
        <w:pStyle w:val="BodyText"/>
      </w:pPr>
      <w:r>
        <w:t xml:space="preserve">Cataract is the major cause of that vision loss. Around the world, many people with cataracts receive low cost, sight saving surgery but to date, there has been little access to this surgery in PNG and surgical quality of those performed has also varied. While women experience grater rates of cataract blindness than men in PNG, much fewer woman than men receive surgery. </w:t>
      </w:r>
    </w:p>
    <w:p w14:paraId="1A2B6F7C" w14:textId="77777777" w:rsidR="000C5AA9" w:rsidRDefault="000C5AA9" w:rsidP="000C5AA9">
      <w:pPr>
        <w:pStyle w:val="BodyText"/>
      </w:pPr>
      <w:r>
        <w:t>C</w:t>
      </w:r>
      <w:r w:rsidRPr="002D342D">
        <w:t xml:space="preserve">urrently there are only </w:t>
      </w:r>
      <w:r w:rsidR="00D614D5">
        <w:t>seven</w:t>
      </w:r>
      <w:r w:rsidRPr="002D342D">
        <w:t xml:space="preserve"> ophthalmologists performing surgery for a population of 7.5</w:t>
      </w:r>
      <w:r>
        <w:t xml:space="preserve"> </w:t>
      </w:r>
      <w:r w:rsidRPr="002D342D">
        <w:t xml:space="preserve">million, </w:t>
      </w:r>
      <w:r>
        <w:t xml:space="preserve">with variable access to the necessary equipment and disposables. There are also relatively few staff trained in other eye care roles, and almost 90% of the population live in rural and remote areas. </w:t>
      </w:r>
    </w:p>
    <w:p w14:paraId="0F609C5A" w14:textId="77777777" w:rsidR="000C5AA9" w:rsidRDefault="000C5AA9" w:rsidP="005147D7">
      <w:pPr>
        <w:pStyle w:val="Heading3"/>
      </w:pPr>
      <w:r>
        <w:t>The solution</w:t>
      </w:r>
    </w:p>
    <w:p w14:paraId="085AD3EF" w14:textId="77777777" w:rsidR="00870677" w:rsidRDefault="00870677" w:rsidP="00870677">
      <w:pPr>
        <w:pStyle w:val="BodyText"/>
      </w:pPr>
      <w:r>
        <w:t xml:space="preserve">Where the Australian Government has supported eye health and vision care, significant gains have been made towards eliminating avoidable vision loss and blindness. Funding eye health and vision care programs has immediate, tangible results. Globally, there is a return of </w:t>
      </w:r>
      <w:r w:rsidR="002447C1">
        <w:t xml:space="preserve">around </w:t>
      </w:r>
      <w:r>
        <w:t>$</w:t>
      </w:r>
      <w:r w:rsidR="002447C1">
        <w:t>5</w:t>
      </w:r>
      <w:r>
        <w:t xml:space="preserve"> for every $1 invested in eye health and vision </w:t>
      </w:r>
      <w:r w:rsidR="00D614D5">
        <w:t>care.</w:t>
      </w:r>
      <w:r>
        <w:t xml:space="preserve">  </w:t>
      </w:r>
    </w:p>
    <w:p w14:paraId="1F8123E2" w14:textId="77777777" w:rsidR="00870677" w:rsidRDefault="00870677" w:rsidP="00870677">
      <w:pPr>
        <w:pStyle w:val="BodyText"/>
      </w:pPr>
      <w:r>
        <w:t>Along with the humanitarian imperative, lifting people out of poverty fosters peace and sustainable local economies, protects Australia from regional conflicts and lowers the threat of other regional issues such as health pandemics.</w:t>
      </w:r>
      <w:r w:rsidR="00F7234E">
        <w:t xml:space="preserve"> </w:t>
      </w:r>
      <w:r w:rsidR="000C5AA9">
        <w:t xml:space="preserve">Critically, such investment offers not just immediate social and economic benefits but also substantial strategic benefits for Australia, by providing a clear show of support for neighbouring countries within our region.  </w:t>
      </w:r>
    </w:p>
    <w:p w14:paraId="384A6773" w14:textId="77777777" w:rsidR="00870677" w:rsidRDefault="00870677" w:rsidP="00870677">
      <w:pPr>
        <w:pStyle w:val="Heading3"/>
      </w:pPr>
      <w:r>
        <w:t>Priority for 2020-21 Budget investment</w:t>
      </w:r>
    </w:p>
    <w:p w14:paraId="196F7228" w14:textId="77777777" w:rsidR="00DC1BCD" w:rsidRPr="00775CD0" w:rsidRDefault="00E866F3" w:rsidP="005147D7">
      <w:pPr>
        <w:pStyle w:val="BodyText"/>
      </w:pPr>
      <w:r w:rsidRPr="00775CD0">
        <w:t>As an immediate priority, funding</w:t>
      </w:r>
      <w:r w:rsidR="00EA1214" w:rsidRPr="00775CD0">
        <w:t xml:space="preserve"> of $41</w:t>
      </w:r>
      <w:r w:rsidRPr="00775CD0">
        <w:t>.</w:t>
      </w:r>
      <w:r w:rsidR="002447C1" w:rsidRPr="00775CD0">
        <w:t>27</w:t>
      </w:r>
      <w:r w:rsidR="00EA1214" w:rsidRPr="00775CD0">
        <w:t xml:space="preserve"> million is sought to deliver a </w:t>
      </w:r>
      <w:r w:rsidR="000C5AA9" w:rsidRPr="00775CD0">
        <w:t>targeted</w:t>
      </w:r>
      <w:r w:rsidR="00EA1214" w:rsidRPr="00775CD0">
        <w:t xml:space="preserve">, </w:t>
      </w:r>
      <w:proofErr w:type="gramStart"/>
      <w:r w:rsidR="00EA1214" w:rsidRPr="00775CD0">
        <w:t>five year</w:t>
      </w:r>
      <w:proofErr w:type="gramEnd"/>
      <w:r w:rsidR="000C5AA9" w:rsidRPr="00775CD0">
        <w:t xml:space="preserve"> package of eye in</w:t>
      </w:r>
      <w:r w:rsidR="00EA1214" w:rsidRPr="00775CD0">
        <w:t xml:space="preserve">itiatives </w:t>
      </w:r>
      <w:r w:rsidR="000C5AA9" w:rsidRPr="00775CD0">
        <w:t xml:space="preserve">in PNG, to tackle the current crisis and work towards sustainable local eye care </w:t>
      </w:r>
      <w:r w:rsidR="00EA1214" w:rsidRPr="00775CD0">
        <w:t xml:space="preserve">for that country into </w:t>
      </w:r>
      <w:r w:rsidR="000C5AA9" w:rsidRPr="00775CD0">
        <w:t>the future.</w:t>
      </w:r>
      <w:r w:rsidR="00DC1BCD" w:rsidRPr="00775CD0">
        <w:t xml:space="preserve"> Investment in three main areas is required:</w:t>
      </w:r>
    </w:p>
    <w:p w14:paraId="637B3807" w14:textId="77777777" w:rsidR="00DC1BCD" w:rsidRPr="00775CD0" w:rsidRDefault="00DC1BCD" w:rsidP="005147D7">
      <w:pPr>
        <w:pStyle w:val="BodyText"/>
        <w:numPr>
          <w:ilvl w:val="0"/>
          <w:numId w:val="25"/>
        </w:numPr>
      </w:pPr>
      <w:r w:rsidRPr="00775CD0">
        <w:t xml:space="preserve">Build and upskill the local eye care </w:t>
      </w:r>
      <w:r w:rsidRPr="00775CD0">
        <w:rPr>
          <w:b/>
        </w:rPr>
        <w:t xml:space="preserve">workforce: </w:t>
      </w:r>
      <w:r w:rsidRPr="00775CD0">
        <w:t>expand the number of skilled ophthalmologists available to provide cataract surgery and other important treatment</w:t>
      </w:r>
      <w:r w:rsidR="00DF0F02" w:rsidRPr="00775CD0">
        <w:rPr>
          <w:rStyle w:val="FootnoteReference"/>
        </w:rPr>
        <w:footnoteReference w:id="4"/>
      </w:r>
      <w:r w:rsidRPr="00775CD0">
        <w:t>, and support establishment of a new optometry workforce</w:t>
      </w:r>
      <w:r w:rsidR="00E866F3" w:rsidRPr="00775CD0">
        <w:t xml:space="preserve"> ($3.</w:t>
      </w:r>
      <w:r w:rsidR="002447C1" w:rsidRPr="00775CD0">
        <w:t>51</w:t>
      </w:r>
      <w:r w:rsidR="00E866F3" w:rsidRPr="00775CD0">
        <w:t>m)</w:t>
      </w:r>
      <w:r w:rsidRPr="00775CD0">
        <w:t xml:space="preserve">.  </w:t>
      </w:r>
    </w:p>
    <w:p w14:paraId="09215A09" w14:textId="77777777" w:rsidR="00DC1BCD" w:rsidRPr="003A4308" w:rsidRDefault="00DC1BCD" w:rsidP="005147D7">
      <w:pPr>
        <w:pStyle w:val="BodyText"/>
        <w:numPr>
          <w:ilvl w:val="0"/>
          <w:numId w:val="25"/>
        </w:numPr>
      </w:pPr>
      <w:r w:rsidRPr="003A4308">
        <w:lastRenderedPageBreak/>
        <w:t>Build the</w:t>
      </w:r>
      <w:r w:rsidRPr="005147D7">
        <w:t xml:space="preserve"> </w:t>
      </w:r>
      <w:r w:rsidRPr="00702753">
        <w:rPr>
          <w:b/>
        </w:rPr>
        <w:t>infrastructure</w:t>
      </w:r>
      <w:r w:rsidRPr="003A4308">
        <w:t xml:space="preserve"> needed to both train that workforce and deliver eye care, through funding establishment of a Centre for Excellence in Ophthalmology, potentially in partnership with New Zealand</w:t>
      </w:r>
      <w:r w:rsidR="00E866F3">
        <w:t xml:space="preserve"> ($15.75m)</w:t>
      </w:r>
      <w:r w:rsidR="00D614D5">
        <w:t>.</w:t>
      </w:r>
      <w:r w:rsidRPr="003A4308">
        <w:t xml:space="preserve"> </w:t>
      </w:r>
    </w:p>
    <w:p w14:paraId="5F87B78D" w14:textId="77777777" w:rsidR="00DC1BCD" w:rsidRDefault="00DC1BCD" w:rsidP="005147D7">
      <w:pPr>
        <w:pStyle w:val="BodyText"/>
        <w:numPr>
          <w:ilvl w:val="0"/>
          <w:numId w:val="25"/>
        </w:numPr>
      </w:pPr>
      <w:r w:rsidRPr="003A4308">
        <w:t xml:space="preserve">Deliver </w:t>
      </w:r>
      <w:r w:rsidRPr="00702753">
        <w:rPr>
          <w:b/>
        </w:rPr>
        <w:t>outreach services</w:t>
      </w:r>
      <w:r w:rsidRPr="003A4308">
        <w:t xml:space="preserve"> to restore sight to thousands of people living with cataract blindness across PNG, including those in rural and remote areas</w:t>
      </w:r>
      <w:r w:rsidR="00E866F3">
        <w:t xml:space="preserve"> ($22m)</w:t>
      </w:r>
      <w:r w:rsidR="00D614D5">
        <w:t>.</w:t>
      </w:r>
    </w:p>
    <w:p w14:paraId="74998379" w14:textId="77777777" w:rsidR="00E866F3" w:rsidRDefault="00E866F3" w:rsidP="00075FA8">
      <w:pPr>
        <w:pStyle w:val="BodyText"/>
      </w:pPr>
      <w:r w:rsidRPr="00075FA8">
        <w:t>This work will include a focus on addressing the current disparities in accessing treatment, and ensuring stronger connections to support for those people who are identified as having permanent vision loss, in line with the broader focus on disability inclusion and ensuring no-one is left behind.</w:t>
      </w:r>
    </w:p>
    <w:p w14:paraId="40559E56" w14:textId="77777777" w:rsidR="00E866F3" w:rsidRPr="00E866F3" w:rsidRDefault="00E866F3" w:rsidP="00075FA8">
      <w:pPr>
        <w:pStyle w:val="BodyText"/>
      </w:pPr>
      <w:r w:rsidRPr="00075FA8">
        <w:t xml:space="preserve">Importantly, this </w:t>
      </w:r>
      <w:r w:rsidR="00075FA8" w:rsidRPr="00075FA8">
        <w:t xml:space="preserve">initiative will leverage the considerable </w:t>
      </w:r>
      <w:r w:rsidRPr="00E866F3">
        <w:t xml:space="preserve">expertise, resources and networks </w:t>
      </w:r>
      <w:r w:rsidR="00075FA8">
        <w:t xml:space="preserve">of its many members to deliver concrete results through an active, cross sector partnership. </w:t>
      </w:r>
      <w:r w:rsidRPr="00E866F3">
        <w:t xml:space="preserve"> </w:t>
      </w:r>
    </w:p>
    <w:p w14:paraId="2FA819F1" w14:textId="77777777" w:rsidR="00E866F3" w:rsidRPr="00E866F3" w:rsidRDefault="00E866F3" w:rsidP="00075FA8">
      <w:pPr>
        <w:pStyle w:val="BodyText"/>
      </w:pPr>
      <w:r w:rsidRPr="00E866F3">
        <w:t xml:space="preserve">Organisations such as Fred Hollows Foundation, the Royal Australian and New Zealand College of Ophthalmologists and Brien Holden Vision Institute have developed proposals that underpin this plan, in partnership with local PNG stakeholders, including discussion with the PNG Prevention of Blindness Committee.   </w:t>
      </w:r>
    </w:p>
    <w:p w14:paraId="5EF7FE14" w14:textId="77777777" w:rsidR="00E866F3" w:rsidRPr="00E866F3" w:rsidRDefault="00E866F3" w:rsidP="00075FA8">
      <w:pPr>
        <w:pStyle w:val="BodyText"/>
      </w:pPr>
      <w:r w:rsidRPr="00E866F3">
        <w:t xml:space="preserve">A range of other Vision 2020 Australia member organisations including OneSight, the Australian College of Optometry, the Royal Australasian College of Surgeons, Sight </w:t>
      </w:r>
      <w:proofErr w:type="gramStart"/>
      <w:r w:rsidRPr="00E866F3">
        <w:t>For</w:t>
      </w:r>
      <w:proofErr w:type="gramEnd"/>
      <w:r w:rsidRPr="00E866F3">
        <w:t xml:space="preserve"> All and others involved in training and international programs have also signalled interest in participation.</w:t>
      </w:r>
    </w:p>
    <w:p w14:paraId="6ADB22B3" w14:textId="77777777" w:rsidR="00E866F3" w:rsidRPr="00E866F3" w:rsidRDefault="00E866F3" w:rsidP="00075FA8">
      <w:pPr>
        <w:pStyle w:val="BodyText"/>
      </w:pPr>
      <w:r w:rsidRPr="00E866F3">
        <w:t xml:space="preserve">Through their past and current involvement, the collective efforts of many Vision 2020 Australia </w:t>
      </w:r>
      <w:r w:rsidR="00964287">
        <w:t xml:space="preserve">members </w:t>
      </w:r>
      <w:r w:rsidRPr="00E866F3">
        <w:t>have laid the foundations for progressing the priorities identified in this proposal. This strong sector knowledge and experience, coupled with good data about the current challenges, sets the eye sector apart from a range of other areas</w:t>
      </w:r>
      <w:r w:rsidR="00964287">
        <w:t>.</w:t>
      </w:r>
      <w:r w:rsidRPr="00E866F3">
        <w:t xml:space="preserve"> </w:t>
      </w:r>
      <w:r w:rsidR="00964287">
        <w:t>W</w:t>
      </w:r>
      <w:r w:rsidRPr="00E866F3">
        <w:t>e know the where the gaps are and now have some of the key underpinnings for success (such as</w:t>
      </w:r>
      <w:r w:rsidR="00964287">
        <w:t xml:space="preserve"> a</w:t>
      </w:r>
      <w:r w:rsidRPr="00E866F3">
        <w:t xml:space="preserve"> suitable ophthalmology course) </w:t>
      </w:r>
      <w:r w:rsidR="00964287">
        <w:t xml:space="preserve">and are </w:t>
      </w:r>
      <w:r w:rsidRPr="00E866F3">
        <w:t xml:space="preserve">ready to take the next steps. </w:t>
      </w:r>
    </w:p>
    <w:p w14:paraId="73CF1A45" w14:textId="77777777" w:rsidR="00DC1BCD" w:rsidRDefault="00E866F3" w:rsidP="00E62EA0">
      <w:pPr>
        <w:pStyle w:val="Heading3"/>
        <w:rPr>
          <w:highlight w:val="yellow"/>
        </w:rPr>
      </w:pPr>
      <w:r>
        <w:t>W</w:t>
      </w:r>
      <w:r w:rsidR="00DC1BCD" w:rsidRPr="005147D7">
        <w:t xml:space="preserve">hat will that </w:t>
      </w:r>
      <w:proofErr w:type="gramStart"/>
      <w:r w:rsidR="00DC1BCD" w:rsidRPr="005147D7">
        <w:t>funding</w:t>
      </w:r>
      <w:proofErr w:type="gramEnd"/>
      <w:r w:rsidR="00DC1BCD" w:rsidRPr="005147D7">
        <w:t xml:space="preserve"> deliver?</w:t>
      </w:r>
    </w:p>
    <w:p w14:paraId="6B2FC2F9" w14:textId="77777777" w:rsidR="00E866F3" w:rsidRPr="00E47228" w:rsidRDefault="00E866F3" w:rsidP="00E866F3">
      <w:pPr>
        <w:keepNext/>
        <w:keepLines/>
        <w:spacing w:before="240" w:after="120"/>
        <w:outlineLvl w:val="2"/>
        <w:rPr>
          <w:rFonts w:asciiTheme="majorHAnsi" w:eastAsia="Times New Roman" w:hAnsiTheme="majorHAnsi" w:cs="Times New Roman"/>
          <w:b/>
          <w:bCs/>
          <w:color w:val="32619D" w:themeColor="accent3"/>
          <w:sz w:val="22"/>
          <w:lang w:eastAsia="en-AU"/>
        </w:rPr>
      </w:pPr>
      <w:r w:rsidRPr="00E47228">
        <w:rPr>
          <w:rFonts w:asciiTheme="majorHAnsi" w:eastAsia="Times New Roman" w:hAnsiTheme="majorHAnsi" w:cs="Times New Roman"/>
          <w:b/>
          <w:bCs/>
          <w:color w:val="32619D" w:themeColor="accent3"/>
          <w:sz w:val="22"/>
          <w:lang w:eastAsia="en-AU"/>
        </w:rPr>
        <w:t>Build the workforce ($3.</w:t>
      </w:r>
      <w:r w:rsidR="002447C1">
        <w:rPr>
          <w:rFonts w:asciiTheme="majorHAnsi" w:eastAsia="Times New Roman" w:hAnsiTheme="majorHAnsi" w:cs="Times New Roman"/>
          <w:b/>
          <w:bCs/>
          <w:color w:val="32619D" w:themeColor="accent3"/>
          <w:sz w:val="22"/>
          <w:lang w:eastAsia="en-AU"/>
        </w:rPr>
        <w:t>51</w:t>
      </w:r>
      <w:r w:rsidRPr="00E47228">
        <w:rPr>
          <w:rFonts w:asciiTheme="majorHAnsi" w:eastAsia="Times New Roman" w:hAnsiTheme="majorHAnsi" w:cs="Times New Roman"/>
          <w:b/>
          <w:bCs/>
          <w:color w:val="32619D" w:themeColor="accent3"/>
          <w:sz w:val="22"/>
          <w:lang w:eastAsia="en-AU"/>
        </w:rPr>
        <w:t>m)</w:t>
      </w:r>
    </w:p>
    <w:p w14:paraId="2257B8AE" w14:textId="77777777" w:rsidR="00E866F3" w:rsidRPr="00E866F3" w:rsidRDefault="00E866F3" w:rsidP="00E866F3">
      <w:pPr>
        <w:spacing w:before="120" w:after="120" w:line="264" w:lineRule="auto"/>
        <w:rPr>
          <w:rFonts w:eastAsia="Times New Roman" w:cs="Times New Roman"/>
          <w:sz w:val="22"/>
          <w:szCs w:val="24"/>
          <w:lang w:eastAsia="en-AU"/>
        </w:rPr>
      </w:pPr>
      <w:r w:rsidRPr="00E47228">
        <w:rPr>
          <w:rFonts w:eastAsia="Times New Roman" w:cs="Times New Roman"/>
          <w:sz w:val="22"/>
          <w:szCs w:val="24"/>
          <w:lang w:eastAsia="en-AU"/>
        </w:rPr>
        <w:t>An integrated package of training ($1.</w:t>
      </w:r>
      <w:r w:rsidR="002447C1">
        <w:rPr>
          <w:rFonts w:eastAsia="Times New Roman" w:cs="Times New Roman"/>
          <w:sz w:val="22"/>
          <w:szCs w:val="24"/>
          <w:lang w:eastAsia="en-AU"/>
        </w:rPr>
        <w:t>02</w:t>
      </w:r>
      <w:r w:rsidRPr="00E47228">
        <w:rPr>
          <w:rFonts w:eastAsia="Times New Roman" w:cs="Times New Roman"/>
          <w:sz w:val="22"/>
          <w:szCs w:val="24"/>
          <w:lang w:eastAsia="en-AU"/>
        </w:rPr>
        <w:t xml:space="preserve">m) will </w:t>
      </w:r>
      <w:r w:rsidRPr="00E47228">
        <w:rPr>
          <w:rFonts w:eastAsia="Times New Roman" w:cs="Times New Roman"/>
          <w:sz w:val="22"/>
          <w:szCs w:val="24"/>
          <w:u w:val="single"/>
          <w:lang w:eastAsia="en-AU"/>
        </w:rPr>
        <w:t>upskill local ophthalmologists and train new ones</w:t>
      </w:r>
      <w:r w:rsidRPr="00E47228">
        <w:rPr>
          <w:rFonts w:eastAsia="Times New Roman" w:cs="Times New Roman"/>
          <w:sz w:val="22"/>
          <w:szCs w:val="24"/>
          <w:lang w:eastAsia="en-AU"/>
        </w:rPr>
        <w:t>,</w:t>
      </w:r>
      <w:r w:rsidRPr="00E866F3">
        <w:rPr>
          <w:rFonts w:eastAsia="Times New Roman" w:cs="Times New Roman"/>
          <w:sz w:val="22"/>
          <w:szCs w:val="24"/>
          <w:lang w:eastAsia="en-AU"/>
        </w:rPr>
        <w:t xml:space="preserve"> to address the fundamental local undersupply of qualified and skilled medical specialists. This will include supported advanced training of some in sub-specialities; skills enhancement to support local training and supervision of future trainees; and other strategies to both expand the workforce and enhance their surgical and other skills. </w:t>
      </w:r>
    </w:p>
    <w:p w14:paraId="1A54A62F" w14:textId="77777777" w:rsidR="00E866F3" w:rsidRPr="00E866F3" w:rsidRDefault="00E866F3" w:rsidP="00E866F3">
      <w:pPr>
        <w:spacing w:before="120" w:after="120" w:line="264" w:lineRule="auto"/>
        <w:rPr>
          <w:rFonts w:eastAsia="Times New Roman" w:cs="Times New Roman"/>
          <w:sz w:val="22"/>
          <w:szCs w:val="24"/>
          <w:lang w:eastAsia="en-AU"/>
        </w:rPr>
      </w:pPr>
      <w:r w:rsidRPr="00E866F3">
        <w:rPr>
          <w:rFonts w:eastAsia="Times New Roman" w:cs="Times New Roman"/>
          <w:sz w:val="22"/>
          <w:szCs w:val="24"/>
          <w:lang w:eastAsia="en-AU"/>
        </w:rPr>
        <w:t xml:space="preserve">Overall, some 24 doctors and trainees will be supported through elements of the package, with an ophthalmology skills training centre established to provide ongoing access to training infrastructure. </w:t>
      </w:r>
    </w:p>
    <w:p w14:paraId="3C780AAD" w14:textId="77777777" w:rsidR="00E866F3" w:rsidRPr="00E866F3" w:rsidRDefault="00E866F3" w:rsidP="00E866F3">
      <w:pPr>
        <w:spacing w:before="120" w:after="120" w:line="264" w:lineRule="auto"/>
        <w:rPr>
          <w:rFonts w:eastAsia="Times New Roman" w:cs="Times New Roman"/>
          <w:sz w:val="22"/>
          <w:szCs w:val="24"/>
          <w:lang w:eastAsia="en-AU"/>
        </w:rPr>
      </w:pPr>
      <w:r w:rsidRPr="00E866F3">
        <w:rPr>
          <w:rFonts w:eastAsia="Times New Roman" w:cs="Times New Roman"/>
          <w:sz w:val="22"/>
          <w:szCs w:val="24"/>
          <w:lang w:eastAsia="en-AU"/>
        </w:rPr>
        <w:t>In addition, there will be a focus on establishing a new optometry workforce in PNG to help expand access to high quality day to day eye care as part of a stronger, sustainable future eye care system ($2.49m). This funding will develop local faculty and a new course in partnership with local stakeholders, as well as developing local optometry services through existing vision centres.</w:t>
      </w:r>
    </w:p>
    <w:p w14:paraId="643E7220" w14:textId="77777777" w:rsidR="00E866F3" w:rsidRPr="007B1A96" w:rsidRDefault="00E866F3" w:rsidP="00E866F3">
      <w:pPr>
        <w:rPr>
          <w:b/>
          <w:color w:val="32619D" w:themeColor="accent3"/>
          <w:sz w:val="22"/>
        </w:rPr>
      </w:pPr>
      <w:r w:rsidRPr="007B1A96">
        <w:rPr>
          <w:b/>
          <w:color w:val="32619D" w:themeColor="accent3"/>
          <w:sz w:val="22"/>
        </w:rPr>
        <w:t>Invest in infrastructure – build a Centre of Excellence ($15.75m)</w:t>
      </w:r>
    </w:p>
    <w:p w14:paraId="4AAD2950" w14:textId="77777777" w:rsidR="00E866F3" w:rsidRPr="00E866F3" w:rsidRDefault="00E866F3" w:rsidP="00E866F3">
      <w:pPr>
        <w:spacing w:before="120" w:after="120" w:line="264" w:lineRule="auto"/>
        <w:rPr>
          <w:rFonts w:eastAsia="Times New Roman" w:cs="Times New Roman"/>
          <w:sz w:val="22"/>
          <w:szCs w:val="24"/>
          <w:lang w:eastAsia="en-AU"/>
        </w:rPr>
      </w:pPr>
      <w:r w:rsidRPr="00E866F3">
        <w:rPr>
          <w:rFonts w:eastAsia="Times New Roman" w:cs="Times New Roman"/>
          <w:sz w:val="22"/>
          <w:szCs w:val="24"/>
          <w:lang w:eastAsia="en-AU"/>
        </w:rPr>
        <w:t xml:space="preserve">To develop long-term solutions to the shortage of health workforce, there needs to be investment in a facility that provides fit for purpose training infrastructure.  </w:t>
      </w:r>
    </w:p>
    <w:p w14:paraId="7016CD48" w14:textId="77777777" w:rsidR="00E866F3" w:rsidRPr="00E866F3" w:rsidRDefault="00E866F3" w:rsidP="00E866F3">
      <w:pPr>
        <w:spacing w:before="120" w:after="120" w:line="264" w:lineRule="auto"/>
        <w:rPr>
          <w:rFonts w:eastAsia="Times New Roman" w:cs="Times New Roman"/>
          <w:sz w:val="22"/>
          <w:szCs w:val="24"/>
          <w:lang w:eastAsia="en-AU"/>
        </w:rPr>
      </w:pPr>
      <w:r w:rsidRPr="00E866F3">
        <w:rPr>
          <w:rFonts w:eastAsia="Times New Roman" w:cs="Times New Roman"/>
          <w:sz w:val="22"/>
          <w:szCs w:val="24"/>
          <w:lang w:eastAsia="en-AU"/>
        </w:rPr>
        <w:lastRenderedPageBreak/>
        <w:t xml:space="preserve">A </w:t>
      </w:r>
      <w:r w:rsidRPr="00E866F3">
        <w:rPr>
          <w:rFonts w:eastAsia="Times New Roman" w:cs="Times New Roman"/>
          <w:sz w:val="22"/>
          <w:szCs w:val="24"/>
          <w:u w:val="single"/>
          <w:lang w:eastAsia="en-AU"/>
        </w:rPr>
        <w:t>Centre of Excellence for Ophthalmology</w:t>
      </w:r>
      <w:r w:rsidRPr="00E866F3">
        <w:rPr>
          <w:rFonts w:eastAsia="Times New Roman" w:cs="Times New Roman"/>
          <w:sz w:val="22"/>
          <w:szCs w:val="24"/>
          <w:lang w:eastAsia="en-AU"/>
        </w:rPr>
        <w:t xml:space="preserve"> in PNG is proposed, to train doctors and nurses from across the country in comprehensive eye care and support outreach activities to the remote regions of PNG. There may be opportunities for the Australian Government to partner with the New Zealand Government to support its delivery. </w:t>
      </w:r>
    </w:p>
    <w:p w14:paraId="35CE4096" w14:textId="77777777" w:rsidR="00E866F3" w:rsidRPr="007B1A96" w:rsidRDefault="00E866F3" w:rsidP="00E866F3">
      <w:pPr>
        <w:keepNext/>
        <w:keepLines/>
        <w:spacing w:before="240" w:after="120"/>
        <w:outlineLvl w:val="2"/>
        <w:rPr>
          <w:rFonts w:asciiTheme="majorHAnsi" w:eastAsia="Times New Roman" w:hAnsiTheme="majorHAnsi" w:cs="Times New Roman"/>
          <w:b/>
          <w:bCs/>
          <w:color w:val="32619D" w:themeColor="accent3"/>
          <w:sz w:val="22"/>
          <w:lang w:eastAsia="en-AU"/>
        </w:rPr>
      </w:pPr>
      <w:r w:rsidRPr="007B1A96">
        <w:rPr>
          <w:rFonts w:asciiTheme="majorHAnsi" w:eastAsia="Times New Roman" w:hAnsiTheme="majorHAnsi" w:cs="Times New Roman"/>
          <w:b/>
          <w:bCs/>
          <w:color w:val="32619D" w:themeColor="accent3"/>
          <w:sz w:val="22"/>
          <w:lang w:eastAsia="en-AU"/>
        </w:rPr>
        <w:t>Expand outreach services ($22m)</w:t>
      </w:r>
    </w:p>
    <w:p w14:paraId="44909707" w14:textId="77777777" w:rsidR="00E866F3" w:rsidRDefault="00E866F3" w:rsidP="00E866F3">
      <w:pPr>
        <w:spacing w:before="120" w:after="120" w:line="264" w:lineRule="auto"/>
        <w:rPr>
          <w:rFonts w:eastAsia="Times New Roman" w:cs="Times New Roman"/>
          <w:sz w:val="22"/>
          <w:szCs w:val="24"/>
          <w:lang w:eastAsia="en-AU"/>
        </w:rPr>
      </w:pPr>
      <w:r w:rsidRPr="00E866F3">
        <w:rPr>
          <w:rFonts w:eastAsia="Times New Roman" w:cs="Times New Roman"/>
          <w:sz w:val="22"/>
          <w:szCs w:val="24"/>
          <w:lang w:eastAsia="en-AU"/>
        </w:rPr>
        <w:t xml:space="preserve">The cataract backlog in PNG is substantial: there are over 400,000 people currently affected. </w:t>
      </w:r>
      <w:r w:rsidRPr="00E866F3">
        <w:rPr>
          <w:rFonts w:eastAsia="Times New Roman" w:cs="Times New Roman"/>
          <w:sz w:val="22"/>
          <w:szCs w:val="24"/>
          <w:u w:val="single"/>
          <w:lang w:eastAsia="en-AU"/>
        </w:rPr>
        <w:t>Scaling up outreach services</w:t>
      </w:r>
      <w:r w:rsidRPr="00E866F3">
        <w:rPr>
          <w:rFonts w:eastAsia="Times New Roman" w:cs="Times New Roman"/>
          <w:sz w:val="22"/>
          <w:szCs w:val="24"/>
          <w:lang w:eastAsia="en-AU"/>
        </w:rPr>
        <w:t xml:space="preserve"> will deliver much needed surgeries across the country, including remote and hard to access services. While the primary focus will be on cataract surgeries, this work will also provide an opportunity to build workforce skills and test models for future provision of eye care services and supporting systems. </w:t>
      </w:r>
    </w:p>
    <w:p w14:paraId="79FECDE4" w14:textId="77777777" w:rsidR="007B1A96" w:rsidRDefault="007B1A96" w:rsidP="00E866F3">
      <w:pPr>
        <w:spacing w:before="120" w:after="120" w:line="264" w:lineRule="auto"/>
        <w:rPr>
          <w:rFonts w:eastAsia="Times New Roman" w:cs="Times New Roman"/>
          <w:sz w:val="22"/>
          <w:szCs w:val="24"/>
          <w:lang w:eastAsia="en-AU"/>
        </w:rPr>
      </w:pPr>
    </w:p>
    <w:p w14:paraId="3F2DA8AD" w14:textId="77777777" w:rsidR="007B1A96" w:rsidRDefault="007B1A96" w:rsidP="00E62EA0">
      <w:pPr>
        <w:pStyle w:val="Heading3"/>
      </w:pPr>
      <w:r>
        <w:t>Budget</w:t>
      </w:r>
    </w:p>
    <w:tbl>
      <w:tblPr>
        <w:tblW w:w="5000" w:type="pct"/>
        <w:tblLook w:val="04A0" w:firstRow="1" w:lastRow="0" w:firstColumn="1" w:lastColumn="0" w:noHBand="0" w:noVBand="1"/>
      </w:tblPr>
      <w:tblGrid>
        <w:gridCol w:w="3519"/>
        <w:gridCol w:w="1024"/>
        <w:gridCol w:w="1024"/>
        <w:gridCol w:w="1024"/>
        <w:gridCol w:w="1024"/>
        <w:gridCol w:w="1024"/>
        <w:gridCol w:w="999"/>
      </w:tblGrid>
      <w:tr w:rsidR="007B1A96" w:rsidRPr="00E62EA0" w14:paraId="4AC64B9B" w14:textId="77777777" w:rsidTr="007B1A96">
        <w:trPr>
          <w:trHeight w:val="300"/>
        </w:trPr>
        <w:tc>
          <w:tcPr>
            <w:tcW w:w="1900" w:type="pct"/>
            <w:tcBorders>
              <w:top w:val="nil"/>
              <w:left w:val="nil"/>
              <w:bottom w:val="nil"/>
              <w:right w:val="nil"/>
            </w:tcBorders>
            <w:shd w:val="clear" w:color="000000" w:fill="000000"/>
            <w:vAlign w:val="bottom"/>
            <w:hideMark/>
          </w:tcPr>
          <w:p w14:paraId="55ACD0A2"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 </w:t>
            </w:r>
          </w:p>
        </w:tc>
        <w:tc>
          <w:tcPr>
            <w:tcW w:w="537" w:type="pct"/>
            <w:tcBorders>
              <w:top w:val="nil"/>
              <w:left w:val="nil"/>
              <w:bottom w:val="nil"/>
              <w:right w:val="nil"/>
            </w:tcBorders>
            <w:shd w:val="clear" w:color="000000" w:fill="000000"/>
            <w:noWrap/>
            <w:vAlign w:val="bottom"/>
            <w:hideMark/>
          </w:tcPr>
          <w:p w14:paraId="61CCC43F"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2020-21</w:t>
            </w:r>
          </w:p>
        </w:tc>
        <w:tc>
          <w:tcPr>
            <w:tcW w:w="566" w:type="pct"/>
            <w:tcBorders>
              <w:top w:val="nil"/>
              <w:left w:val="nil"/>
              <w:bottom w:val="nil"/>
              <w:right w:val="nil"/>
            </w:tcBorders>
            <w:shd w:val="clear" w:color="000000" w:fill="000000"/>
            <w:noWrap/>
            <w:vAlign w:val="bottom"/>
            <w:hideMark/>
          </w:tcPr>
          <w:p w14:paraId="07918639"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2021-22</w:t>
            </w:r>
          </w:p>
        </w:tc>
        <w:tc>
          <w:tcPr>
            <w:tcW w:w="509" w:type="pct"/>
            <w:tcBorders>
              <w:top w:val="nil"/>
              <w:left w:val="nil"/>
              <w:bottom w:val="nil"/>
              <w:right w:val="nil"/>
            </w:tcBorders>
            <w:shd w:val="clear" w:color="000000" w:fill="000000"/>
            <w:noWrap/>
            <w:vAlign w:val="bottom"/>
            <w:hideMark/>
          </w:tcPr>
          <w:p w14:paraId="74D6EA4F"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2022-23</w:t>
            </w:r>
          </w:p>
        </w:tc>
        <w:tc>
          <w:tcPr>
            <w:tcW w:w="537" w:type="pct"/>
            <w:tcBorders>
              <w:top w:val="nil"/>
              <w:left w:val="nil"/>
              <w:bottom w:val="nil"/>
              <w:right w:val="nil"/>
            </w:tcBorders>
            <w:shd w:val="clear" w:color="000000" w:fill="000000"/>
            <w:noWrap/>
            <w:vAlign w:val="bottom"/>
            <w:hideMark/>
          </w:tcPr>
          <w:p w14:paraId="73E7BBFA"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2023-24</w:t>
            </w:r>
          </w:p>
        </w:tc>
        <w:tc>
          <w:tcPr>
            <w:tcW w:w="509" w:type="pct"/>
            <w:tcBorders>
              <w:top w:val="nil"/>
              <w:left w:val="nil"/>
              <w:bottom w:val="nil"/>
              <w:right w:val="nil"/>
            </w:tcBorders>
            <w:shd w:val="clear" w:color="000000" w:fill="000000"/>
            <w:noWrap/>
            <w:vAlign w:val="bottom"/>
            <w:hideMark/>
          </w:tcPr>
          <w:p w14:paraId="1C235996"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2024-25</w:t>
            </w:r>
          </w:p>
        </w:tc>
        <w:tc>
          <w:tcPr>
            <w:tcW w:w="441" w:type="pct"/>
            <w:tcBorders>
              <w:top w:val="nil"/>
              <w:left w:val="nil"/>
              <w:bottom w:val="nil"/>
              <w:right w:val="nil"/>
            </w:tcBorders>
            <w:shd w:val="clear" w:color="000000" w:fill="000000"/>
            <w:noWrap/>
            <w:vAlign w:val="bottom"/>
            <w:hideMark/>
          </w:tcPr>
          <w:p w14:paraId="13309B66" w14:textId="77777777" w:rsidR="007B1A96" w:rsidRPr="007B1A96" w:rsidRDefault="007B1A96" w:rsidP="007B1A96">
            <w:pPr>
              <w:rPr>
                <w:rFonts w:eastAsia="Times New Roman" w:cstheme="minorHAnsi"/>
                <w:color w:val="FFFFFF"/>
                <w:sz w:val="22"/>
                <w:lang w:eastAsia="en-AU"/>
              </w:rPr>
            </w:pPr>
            <w:r w:rsidRPr="007B1A96">
              <w:rPr>
                <w:rFonts w:eastAsia="Times New Roman" w:cstheme="minorHAnsi"/>
                <w:color w:val="FFFFFF"/>
                <w:sz w:val="22"/>
                <w:lang w:eastAsia="en-AU"/>
              </w:rPr>
              <w:t xml:space="preserve">5yr total </w:t>
            </w:r>
          </w:p>
        </w:tc>
      </w:tr>
      <w:tr w:rsidR="007B1A96" w:rsidRPr="007B1A96" w14:paraId="056654A6" w14:textId="77777777" w:rsidTr="007B1A96">
        <w:trPr>
          <w:trHeight w:val="300"/>
        </w:trPr>
        <w:tc>
          <w:tcPr>
            <w:tcW w:w="190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4F51F3" w14:textId="77777777" w:rsidR="007B1A96" w:rsidRPr="007B1A96" w:rsidRDefault="007B1A96" w:rsidP="007B1A96">
            <w:pPr>
              <w:rPr>
                <w:rFonts w:eastAsia="Times New Roman" w:cstheme="minorHAnsi"/>
                <w:color w:val="000000"/>
                <w:sz w:val="22"/>
                <w:lang w:eastAsia="en-AU"/>
              </w:rPr>
            </w:pPr>
            <w:r w:rsidRPr="007B1A96">
              <w:rPr>
                <w:rFonts w:eastAsia="Times New Roman" w:cstheme="minorHAnsi"/>
                <w:color w:val="000000"/>
                <w:sz w:val="22"/>
                <w:lang w:eastAsia="en-AU"/>
              </w:rPr>
              <w:t>Getting to 2020 - workforce</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6207AC8B"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0.4</w:t>
            </w:r>
            <w:r w:rsidR="002447C1">
              <w:rPr>
                <w:rFonts w:eastAsia="Times New Roman" w:cstheme="minorHAnsi"/>
                <w:color w:val="000000"/>
                <w:sz w:val="22"/>
                <w:lang w:eastAsia="en-AU"/>
              </w:rPr>
              <w:t>4</w:t>
            </w:r>
          </w:p>
        </w:tc>
        <w:tc>
          <w:tcPr>
            <w:tcW w:w="566" w:type="pct"/>
            <w:tcBorders>
              <w:top w:val="single" w:sz="4" w:space="0" w:color="auto"/>
              <w:left w:val="nil"/>
              <w:bottom w:val="single" w:sz="4" w:space="0" w:color="auto"/>
              <w:right w:val="single" w:sz="4" w:space="0" w:color="auto"/>
            </w:tcBorders>
            <w:shd w:val="clear" w:color="auto" w:fill="auto"/>
            <w:vAlign w:val="bottom"/>
            <w:hideMark/>
          </w:tcPr>
          <w:p w14:paraId="5B734575"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0.6</w:t>
            </w:r>
            <w:r w:rsidR="002447C1">
              <w:rPr>
                <w:rFonts w:eastAsia="Times New Roman" w:cstheme="minorHAnsi"/>
                <w:color w:val="000000"/>
                <w:sz w:val="22"/>
                <w:lang w:eastAsia="en-AU"/>
              </w:rPr>
              <w:t>2</w:t>
            </w:r>
          </w:p>
        </w:tc>
        <w:tc>
          <w:tcPr>
            <w:tcW w:w="509" w:type="pct"/>
            <w:tcBorders>
              <w:top w:val="single" w:sz="4" w:space="0" w:color="auto"/>
              <w:left w:val="nil"/>
              <w:bottom w:val="single" w:sz="4" w:space="0" w:color="auto"/>
              <w:right w:val="single" w:sz="4" w:space="0" w:color="auto"/>
            </w:tcBorders>
            <w:shd w:val="clear" w:color="auto" w:fill="auto"/>
            <w:vAlign w:val="bottom"/>
            <w:hideMark/>
          </w:tcPr>
          <w:p w14:paraId="703C8818"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0.6</w:t>
            </w:r>
            <w:r w:rsidR="002447C1">
              <w:rPr>
                <w:rFonts w:eastAsia="Times New Roman" w:cstheme="minorHAnsi"/>
                <w:color w:val="000000"/>
                <w:sz w:val="22"/>
                <w:lang w:eastAsia="en-AU"/>
              </w:rPr>
              <w:t>0</w:t>
            </w:r>
          </w:p>
        </w:tc>
        <w:tc>
          <w:tcPr>
            <w:tcW w:w="537" w:type="pct"/>
            <w:tcBorders>
              <w:top w:val="single" w:sz="4" w:space="0" w:color="auto"/>
              <w:left w:val="nil"/>
              <w:bottom w:val="single" w:sz="4" w:space="0" w:color="auto"/>
              <w:right w:val="single" w:sz="4" w:space="0" w:color="auto"/>
            </w:tcBorders>
            <w:shd w:val="clear" w:color="auto" w:fill="auto"/>
            <w:vAlign w:val="bottom"/>
            <w:hideMark/>
          </w:tcPr>
          <w:p w14:paraId="5D3E04D1" w14:textId="77777777" w:rsidR="007B1A96" w:rsidRPr="007B1A96" w:rsidRDefault="002447C1" w:rsidP="007B1A96">
            <w:pPr>
              <w:jc w:val="right"/>
              <w:rPr>
                <w:rFonts w:eastAsia="Times New Roman" w:cstheme="minorHAnsi"/>
                <w:color w:val="000000"/>
                <w:sz w:val="22"/>
                <w:lang w:eastAsia="en-AU"/>
              </w:rPr>
            </w:pPr>
            <w:r>
              <w:rPr>
                <w:rFonts w:eastAsia="Times New Roman" w:cstheme="minorHAnsi"/>
                <w:color w:val="000000"/>
                <w:sz w:val="22"/>
                <w:lang w:eastAsia="en-AU"/>
              </w:rPr>
              <w:t>0.98</w:t>
            </w:r>
          </w:p>
        </w:tc>
        <w:tc>
          <w:tcPr>
            <w:tcW w:w="509" w:type="pct"/>
            <w:tcBorders>
              <w:top w:val="single" w:sz="4" w:space="0" w:color="auto"/>
              <w:left w:val="nil"/>
              <w:bottom w:val="single" w:sz="4" w:space="0" w:color="auto"/>
              <w:right w:val="single" w:sz="4" w:space="0" w:color="auto"/>
            </w:tcBorders>
            <w:shd w:val="clear" w:color="auto" w:fill="auto"/>
            <w:vAlign w:val="bottom"/>
            <w:hideMark/>
          </w:tcPr>
          <w:p w14:paraId="2F4BA8C2"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0.8</w:t>
            </w:r>
            <w:r w:rsidR="002447C1">
              <w:rPr>
                <w:rFonts w:eastAsia="Times New Roman" w:cstheme="minorHAnsi"/>
                <w:color w:val="000000"/>
                <w:sz w:val="22"/>
                <w:lang w:eastAsia="en-AU"/>
              </w:rPr>
              <w:t>7</w:t>
            </w:r>
          </w:p>
        </w:tc>
        <w:tc>
          <w:tcPr>
            <w:tcW w:w="441" w:type="pct"/>
            <w:tcBorders>
              <w:top w:val="single" w:sz="4" w:space="0" w:color="auto"/>
              <w:left w:val="nil"/>
              <w:bottom w:val="single" w:sz="4" w:space="0" w:color="auto"/>
              <w:right w:val="single" w:sz="4" w:space="0" w:color="auto"/>
            </w:tcBorders>
            <w:shd w:val="clear" w:color="auto" w:fill="auto"/>
            <w:vAlign w:val="bottom"/>
            <w:hideMark/>
          </w:tcPr>
          <w:p w14:paraId="0495E45C" w14:textId="77777777" w:rsidR="007B1A96" w:rsidRPr="007B1A96" w:rsidRDefault="00E62EA0" w:rsidP="007B1A96">
            <w:pPr>
              <w:jc w:val="right"/>
              <w:rPr>
                <w:rFonts w:eastAsia="Times New Roman" w:cstheme="minorHAnsi"/>
                <w:color w:val="000000"/>
                <w:sz w:val="22"/>
                <w:lang w:eastAsia="en-AU"/>
              </w:rPr>
            </w:pPr>
            <w:r w:rsidRPr="00E62EA0">
              <w:rPr>
                <w:rFonts w:eastAsia="Times New Roman" w:cstheme="minorHAnsi"/>
                <w:color w:val="000000"/>
                <w:sz w:val="22"/>
                <w:lang w:eastAsia="en-AU"/>
              </w:rPr>
              <w:t>3.</w:t>
            </w:r>
            <w:r w:rsidR="002447C1">
              <w:rPr>
                <w:rFonts w:eastAsia="Times New Roman" w:cstheme="minorHAnsi"/>
                <w:color w:val="000000"/>
                <w:sz w:val="22"/>
                <w:lang w:eastAsia="en-AU"/>
              </w:rPr>
              <w:t>51</w:t>
            </w:r>
          </w:p>
        </w:tc>
      </w:tr>
      <w:tr w:rsidR="007B1A96" w:rsidRPr="007B1A96" w14:paraId="60490E19" w14:textId="77777777" w:rsidTr="007B1A96">
        <w:trPr>
          <w:trHeight w:val="300"/>
        </w:trPr>
        <w:tc>
          <w:tcPr>
            <w:tcW w:w="1900" w:type="pct"/>
            <w:tcBorders>
              <w:top w:val="nil"/>
              <w:left w:val="single" w:sz="4" w:space="0" w:color="auto"/>
              <w:bottom w:val="single" w:sz="4" w:space="0" w:color="auto"/>
              <w:right w:val="single" w:sz="4" w:space="0" w:color="auto"/>
            </w:tcBorders>
            <w:shd w:val="clear" w:color="auto" w:fill="auto"/>
            <w:vAlign w:val="bottom"/>
            <w:hideMark/>
          </w:tcPr>
          <w:p w14:paraId="41CA12C3" w14:textId="77777777" w:rsidR="007B1A96" w:rsidRPr="007B1A96" w:rsidRDefault="007B1A96" w:rsidP="007B1A96">
            <w:pPr>
              <w:rPr>
                <w:rFonts w:eastAsia="Times New Roman" w:cstheme="minorHAnsi"/>
                <w:color w:val="000000"/>
                <w:sz w:val="22"/>
                <w:lang w:eastAsia="en-AU"/>
              </w:rPr>
            </w:pPr>
            <w:r w:rsidRPr="007B1A96">
              <w:rPr>
                <w:rFonts w:eastAsia="Times New Roman" w:cstheme="minorHAnsi"/>
                <w:color w:val="000000"/>
                <w:sz w:val="22"/>
                <w:lang w:eastAsia="en-AU"/>
              </w:rPr>
              <w:t>Getting to 2020 - infrastructure</w:t>
            </w:r>
          </w:p>
        </w:tc>
        <w:tc>
          <w:tcPr>
            <w:tcW w:w="537" w:type="pct"/>
            <w:tcBorders>
              <w:top w:val="nil"/>
              <w:left w:val="nil"/>
              <w:bottom w:val="single" w:sz="4" w:space="0" w:color="auto"/>
              <w:right w:val="single" w:sz="4" w:space="0" w:color="auto"/>
            </w:tcBorders>
            <w:shd w:val="clear" w:color="auto" w:fill="auto"/>
            <w:vAlign w:val="bottom"/>
            <w:hideMark/>
          </w:tcPr>
          <w:p w14:paraId="003E8DFF"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1.15</w:t>
            </w:r>
          </w:p>
        </w:tc>
        <w:tc>
          <w:tcPr>
            <w:tcW w:w="566" w:type="pct"/>
            <w:tcBorders>
              <w:top w:val="nil"/>
              <w:left w:val="nil"/>
              <w:bottom w:val="single" w:sz="4" w:space="0" w:color="auto"/>
              <w:right w:val="single" w:sz="4" w:space="0" w:color="auto"/>
            </w:tcBorders>
            <w:shd w:val="clear" w:color="auto" w:fill="auto"/>
            <w:vAlign w:val="bottom"/>
            <w:hideMark/>
          </w:tcPr>
          <w:p w14:paraId="7ADA2A3A"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7.70</w:t>
            </w:r>
          </w:p>
        </w:tc>
        <w:tc>
          <w:tcPr>
            <w:tcW w:w="509" w:type="pct"/>
            <w:tcBorders>
              <w:top w:val="nil"/>
              <w:left w:val="nil"/>
              <w:bottom w:val="single" w:sz="4" w:space="0" w:color="auto"/>
              <w:right w:val="single" w:sz="4" w:space="0" w:color="auto"/>
            </w:tcBorders>
            <w:shd w:val="clear" w:color="auto" w:fill="auto"/>
            <w:vAlign w:val="bottom"/>
            <w:hideMark/>
          </w:tcPr>
          <w:p w14:paraId="1E92F4ED"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3.50</w:t>
            </w:r>
          </w:p>
        </w:tc>
        <w:tc>
          <w:tcPr>
            <w:tcW w:w="537" w:type="pct"/>
            <w:tcBorders>
              <w:top w:val="nil"/>
              <w:left w:val="nil"/>
              <w:bottom w:val="single" w:sz="4" w:space="0" w:color="auto"/>
              <w:right w:val="single" w:sz="4" w:space="0" w:color="auto"/>
            </w:tcBorders>
            <w:shd w:val="clear" w:color="auto" w:fill="auto"/>
            <w:vAlign w:val="bottom"/>
            <w:hideMark/>
          </w:tcPr>
          <w:p w14:paraId="06CAE1B9"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1.60</w:t>
            </w:r>
          </w:p>
        </w:tc>
        <w:tc>
          <w:tcPr>
            <w:tcW w:w="509" w:type="pct"/>
            <w:tcBorders>
              <w:top w:val="nil"/>
              <w:left w:val="nil"/>
              <w:bottom w:val="single" w:sz="4" w:space="0" w:color="auto"/>
              <w:right w:val="single" w:sz="4" w:space="0" w:color="auto"/>
            </w:tcBorders>
            <w:shd w:val="clear" w:color="auto" w:fill="auto"/>
            <w:vAlign w:val="bottom"/>
            <w:hideMark/>
          </w:tcPr>
          <w:p w14:paraId="30421D79"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1.80</w:t>
            </w:r>
          </w:p>
        </w:tc>
        <w:tc>
          <w:tcPr>
            <w:tcW w:w="441" w:type="pct"/>
            <w:tcBorders>
              <w:top w:val="nil"/>
              <w:left w:val="nil"/>
              <w:bottom w:val="single" w:sz="4" w:space="0" w:color="auto"/>
              <w:right w:val="single" w:sz="4" w:space="0" w:color="auto"/>
            </w:tcBorders>
            <w:shd w:val="clear" w:color="auto" w:fill="auto"/>
            <w:vAlign w:val="bottom"/>
            <w:hideMark/>
          </w:tcPr>
          <w:p w14:paraId="73716553"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15.75</w:t>
            </w:r>
          </w:p>
        </w:tc>
      </w:tr>
      <w:tr w:rsidR="007B1A96" w:rsidRPr="007B1A96" w14:paraId="7F79B445" w14:textId="77777777" w:rsidTr="007B1A96">
        <w:trPr>
          <w:trHeight w:val="300"/>
        </w:trPr>
        <w:tc>
          <w:tcPr>
            <w:tcW w:w="1900" w:type="pct"/>
            <w:tcBorders>
              <w:top w:val="nil"/>
              <w:left w:val="single" w:sz="4" w:space="0" w:color="auto"/>
              <w:bottom w:val="single" w:sz="4" w:space="0" w:color="auto"/>
              <w:right w:val="single" w:sz="4" w:space="0" w:color="auto"/>
            </w:tcBorders>
            <w:shd w:val="clear" w:color="auto" w:fill="auto"/>
            <w:vAlign w:val="bottom"/>
            <w:hideMark/>
          </w:tcPr>
          <w:p w14:paraId="6DAEB31D" w14:textId="77777777" w:rsidR="007B1A96" w:rsidRPr="007B1A96" w:rsidRDefault="007B1A96" w:rsidP="007B1A96">
            <w:pPr>
              <w:rPr>
                <w:rFonts w:eastAsia="Times New Roman" w:cstheme="minorHAnsi"/>
                <w:color w:val="000000"/>
                <w:sz w:val="22"/>
                <w:lang w:eastAsia="en-AU"/>
              </w:rPr>
            </w:pPr>
            <w:r w:rsidRPr="007B1A96">
              <w:rPr>
                <w:rFonts w:eastAsia="Times New Roman" w:cstheme="minorHAnsi"/>
                <w:color w:val="000000"/>
                <w:sz w:val="22"/>
                <w:lang w:eastAsia="en-AU"/>
              </w:rPr>
              <w:t xml:space="preserve">Getting to 2020 - outreach </w:t>
            </w:r>
          </w:p>
        </w:tc>
        <w:tc>
          <w:tcPr>
            <w:tcW w:w="537" w:type="pct"/>
            <w:tcBorders>
              <w:top w:val="nil"/>
              <w:left w:val="nil"/>
              <w:bottom w:val="single" w:sz="4" w:space="0" w:color="auto"/>
              <w:right w:val="single" w:sz="4" w:space="0" w:color="auto"/>
            </w:tcBorders>
            <w:shd w:val="clear" w:color="auto" w:fill="auto"/>
            <w:vAlign w:val="bottom"/>
            <w:hideMark/>
          </w:tcPr>
          <w:p w14:paraId="621A5E2A"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2.40</w:t>
            </w:r>
          </w:p>
        </w:tc>
        <w:tc>
          <w:tcPr>
            <w:tcW w:w="566" w:type="pct"/>
            <w:tcBorders>
              <w:top w:val="nil"/>
              <w:left w:val="nil"/>
              <w:bottom w:val="single" w:sz="4" w:space="0" w:color="auto"/>
              <w:right w:val="single" w:sz="4" w:space="0" w:color="auto"/>
            </w:tcBorders>
            <w:shd w:val="clear" w:color="auto" w:fill="auto"/>
            <w:vAlign w:val="bottom"/>
            <w:hideMark/>
          </w:tcPr>
          <w:p w14:paraId="289B4A33"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5.26</w:t>
            </w:r>
          </w:p>
        </w:tc>
        <w:tc>
          <w:tcPr>
            <w:tcW w:w="509" w:type="pct"/>
            <w:tcBorders>
              <w:top w:val="nil"/>
              <w:left w:val="nil"/>
              <w:bottom w:val="single" w:sz="4" w:space="0" w:color="auto"/>
              <w:right w:val="single" w:sz="4" w:space="0" w:color="auto"/>
            </w:tcBorders>
            <w:shd w:val="clear" w:color="auto" w:fill="auto"/>
            <w:vAlign w:val="bottom"/>
            <w:hideMark/>
          </w:tcPr>
          <w:p w14:paraId="687A514E"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4.65</w:t>
            </w:r>
          </w:p>
        </w:tc>
        <w:tc>
          <w:tcPr>
            <w:tcW w:w="537" w:type="pct"/>
            <w:tcBorders>
              <w:top w:val="nil"/>
              <w:left w:val="nil"/>
              <w:bottom w:val="single" w:sz="4" w:space="0" w:color="auto"/>
              <w:right w:val="single" w:sz="4" w:space="0" w:color="auto"/>
            </w:tcBorders>
            <w:shd w:val="clear" w:color="auto" w:fill="auto"/>
            <w:vAlign w:val="bottom"/>
            <w:hideMark/>
          </w:tcPr>
          <w:p w14:paraId="378E01D1"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4.80</w:t>
            </w:r>
          </w:p>
        </w:tc>
        <w:tc>
          <w:tcPr>
            <w:tcW w:w="509" w:type="pct"/>
            <w:tcBorders>
              <w:top w:val="nil"/>
              <w:left w:val="nil"/>
              <w:bottom w:val="single" w:sz="4" w:space="0" w:color="auto"/>
              <w:right w:val="single" w:sz="4" w:space="0" w:color="auto"/>
            </w:tcBorders>
            <w:shd w:val="clear" w:color="auto" w:fill="auto"/>
            <w:vAlign w:val="bottom"/>
            <w:hideMark/>
          </w:tcPr>
          <w:p w14:paraId="5DE878A7"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4.90</w:t>
            </w:r>
          </w:p>
        </w:tc>
        <w:tc>
          <w:tcPr>
            <w:tcW w:w="441" w:type="pct"/>
            <w:tcBorders>
              <w:top w:val="nil"/>
              <w:left w:val="nil"/>
              <w:bottom w:val="single" w:sz="4" w:space="0" w:color="auto"/>
              <w:right w:val="single" w:sz="4" w:space="0" w:color="auto"/>
            </w:tcBorders>
            <w:shd w:val="clear" w:color="auto" w:fill="auto"/>
            <w:vAlign w:val="bottom"/>
            <w:hideMark/>
          </w:tcPr>
          <w:p w14:paraId="3A6994AE"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22.01</w:t>
            </w:r>
          </w:p>
        </w:tc>
      </w:tr>
      <w:tr w:rsidR="007B1A96" w:rsidRPr="007B1A96" w14:paraId="429671B6" w14:textId="77777777" w:rsidTr="007B1A96">
        <w:trPr>
          <w:trHeight w:val="300"/>
        </w:trPr>
        <w:tc>
          <w:tcPr>
            <w:tcW w:w="1900" w:type="pct"/>
            <w:tcBorders>
              <w:top w:val="nil"/>
              <w:left w:val="single" w:sz="4" w:space="0" w:color="auto"/>
              <w:bottom w:val="single" w:sz="4" w:space="0" w:color="auto"/>
              <w:right w:val="single" w:sz="4" w:space="0" w:color="auto"/>
            </w:tcBorders>
            <w:shd w:val="clear" w:color="auto" w:fill="auto"/>
            <w:vAlign w:val="bottom"/>
            <w:hideMark/>
          </w:tcPr>
          <w:p w14:paraId="7B05ABD5" w14:textId="77777777" w:rsidR="007B1A96" w:rsidRPr="007B1A96" w:rsidRDefault="007B1A96" w:rsidP="007B1A96">
            <w:pPr>
              <w:rPr>
                <w:rFonts w:eastAsia="Times New Roman" w:cstheme="minorHAnsi"/>
                <w:b/>
                <w:bCs/>
                <w:i/>
                <w:iCs/>
                <w:color w:val="000000"/>
                <w:sz w:val="22"/>
                <w:lang w:eastAsia="en-AU"/>
              </w:rPr>
            </w:pPr>
            <w:r w:rsidRPr="007B1A96">
              <w:rPr>
                <w:rFonts w:eastAsia="Times New Roman" w:cstheme="minorHAnsi"/>
                <w:b/>
                <w:bCs/>
                <w:i/>
                <w:iCs/>
                <w:color w:val="000000"/>
                <w:sz w:val="22"/>
                <w:lang w:eastAsia="en-AU"/>
              </w:rPr>
              <w:t>Totals</w:t>
            </w:r>
          </w:p>
        </w:tc>
        <w:tc>
          <w:tcPr>
            <w:tcW w:w="537" w:type="pct"/>
            <w:tcBorders>
              <w:top w:val="nil"/>
              <w:left w:val="nil"/>
              <w:bottom w:val="single" w:sz="4" w:space="0" w:color="auto"/>
              <w:right w:val="single" w:sz="4" w:space="0" w:color="auto"/>
            </w:tcBorders>
            <w:shd w:val="clear" w:color="auto" w:fill="auto"/>
            <w:noWrap/>
            <w:vAlign w:val="bottom"/>
            <w:hideMark/>
          </w:tcPr>
          <w:p w14:paraId="239DF275" w14:textId="77777777" w:rsidR="007B1A96" w:rsidRPr="007B1A96" w:rsidRDefault="007B1A96" w:rsidP="007B1A96">
            <w:pPr>
              <w:jc w:val="right"/>
              <w:rPr>
                <w:rFonts w:eastAsia="Times New Roman" w:cstheme="minorHAnsi"/>
                <w:i/>
                <w:iCs/>
                <w:color w:val="000000"/>
                <w:sz w:val="22"/>
                <w:lang w:eastAsia="en-AU"/>
              </w:rPr>
            </w:pPr>
            <w:r w:rsidRPr="007B1A96">
              <w:rPr>
                <w:rFonts w:eastAsia="Times New Roman" w:cstheme="minorHAnsi"/>
                <w:i/>
                <w:iCs/>
                <w:color w:val="000000"/>
                <w:sz w:val="22"/>
                <w:lang w:eastAsia="en-AU"/>
              </w:rPr>
              <w:t>4.02</w:t>
            </w:r>
          </w:p>
        </w:tc>
        <w:tc>
          <w:tcPr>
            <w:tcW w:w="566" w:type="pct"/>
            <w:tcBorders>
              <w:top w:val="nil"/>
              <w:left w:val="nil"/>
              <w:bottom w:val="single" w:sz="4" w:space="0" w:color="auto"/>
              <w:right w:val="single" w:sz="4" w:space="0" w:color="auto"/>
            </w:tcBorders>
            <w:shd w:val="clear" w:color="auto" w:fill="auto"/>
            <w:noWrap/>
            <w:vAlign w:val="bottom"/>
            <w:hideMark/>
          </w:tcPr>
          <w:p w14:paraId="7D6B3184" w14:textId="77777777" w:rsidR="007B1A96" w:rsidRPr="007B1A96" w:rsidRDefault="007B1A96" w:rsidP="007B1A96">
            <w:pPr>
              <w:jc w:val="right"/>
              <w:rPr>
                <w:rFonts w:eastAsia="Times New Roman" w:cstheme="minorHAnsi"/>
                <w:i/>
                <w:iCs/>
                <w:color w:val="000000"/>
                <w:sz w:val="22"/>
                <w:lang w:eastAsia="en-AU"/>
              </w:rPr>
            </w:pPr>
            <w:r w:rsidRPr="007B1A96">
              <w:rPr>
                <w:rFonts w:eastAsia="Times New Roman" w:cstheme="minorHAnsi"/>
                <w:i/>
                <w:iCs/>
                <w:color w:val="000000"/>
                <w:sz w:val="22"/>
                <w:lang w:eastAsia="en-AU"/>
              </w:rPr>
              <w:t>13.61</w:t>
            </w:r>
          </w:p>
        </w:tc>
        <w:tc>
          <w:tcPr>
            <w:tcW w:w="509" w:type="pct"/>
            <w:tcBorders>
              <w:top w:val="nil"/>
              <w:left w:val="nil"/>
              <w:bottom w:val="single" w:sz="4" w:space="0" w:color="auto"/>
              <w:right w:val="single" w:sz="4" w:space="0" w:color="auto"/>
            </w:tcBorders>
            <w:shd w:val="clear" w:color="auto" w:fill="auto"/>
            <w:noWrap/>
            <w:vAlign w:val="bottom"/>
            <w:hideMark/>
          </w:tcPr>
          <w:p w14:paraId="14578BF1" w14:textId="77777777" w:rsidR="007B1A96" w:rsidRPr="007B1A96" w:rsidRDefault="007B1A96" w:rsidP="007B1A96">
            <w:pPr>
              <w:jc w:val="right"/>
              <w:rPr>
                <w:rFonts w:eastAsia="Times New Roman" w:cstheme="minorHAnsi"/>
                <w:i/>
                <w:iCs/>
                <w:color w:val="000000"/>
                <w:sz w:val="22"/>
                <w:lang w:eastAsia="en-AU"/>
              </w:rPr>
            </w:pPr>
            <w:r w:rsidRPr="007B1A96">
              <w:rPr>
                <w:rFonts w:eastAsia="Times New Roman" w:cstheme="minorHAnsi"/>
                <w:i/>
                <w:iCs/>
                <w:color w:val="000000"/>
                <w:sz w:val="22"/>
                <w:lang w:eastAsia="en-AU"/>
              </w:rPr>
              <w:t>8.80</w:t>
            </w:r>
          </w:p>
        </w:tc>
        <w:tc>
          <w:tcPr>
            <w:tcW w:w="537" w:type="pct"/>
            <w:tcBorders>
              <w:top w:val="nil"/>
              <w:left w:val="nil"/>
              <w:bottom w:val="single" w:sz="4" w:space="0" w:color="auto"/>
              <w:right w:val="single" w:sz="4" w:space="0" w:color="auto"/>
            </w:tcBorders>
            <w:shd w:val="clear" w:color="auto" w:fill="auto"/>
            <w:noWrap/>
            <w:vAlign w:val="bottom"/>
            <w:hideMark/>
          </w:tcPr>
          <w:p w14:paraId="7DA0611B" w14:textId="77777777" w:rsidR="007B1A96" w:rsidRPr="007B1A96" w:rsidRDefault="007B1A96" w:rsidP="007B1A96">
            <w:pPr>
              <w:jc w:val="right"/>
              <w:rPr>
                <w:rFonts w:eastAsia="Times New Roman" w:cstheme="minorHAnsi"/>
                <w:i/>
                <w:iCs/>
                <w:color w:val="000000"/>
                <w:sz w:val="22"/>
                <w:lang w:eastAsia="en-AU"/>
              </w:rPr>
            </w:pPr>
            <w:r w:rsidRPr="007B1A96">
              <w:rPr>
                <w:rFonts w:eastAsia="Times New Roman" w:cstheme="minorHAnsi"/>
                <w:i/>
                <w:iCs/>
                <w:color w:val="000000"/>
                <w:sz w:val="22"/>
                <w:lang w:eastAsia="en-AU"/>
              </w:rPr>
              <w:t>7.41</w:t>
            </w:r>
          </w:p>
        </w:tc>
        <w:tc>
          <w:tcPr>
            <w:tcW w:w="509" w:type="pct"/>
            <w:tcBorders>
              <w:top w:val="nil"/>
              <w:left w:val="nil"/>
              <w:bottom w:val="single" w:sz="4" w:space="0" w:color="auto"/>
              <w:right w:val="single" w:sz="4" w:space="0" w:color="auto"/>
            </w:tcBorders>
            <w:shd w:val="clear" w:color="auto" w:fill="auto"/>
            <w:noWrap/>
            <w:vAlign w:val="bottom"/>
            <w:hideMark/>
          </w:tcPr>
          <w:p w14:paraId="0CBA50BB" w14:textId="77777777" w:rsidR="007B1A96" w:rsidRPr="007B1A96" w:rsidRDefault="007B1A96" w:rsidP="007B1A96">
            <w:pPr>
              <w:jc w:val="right"/>
              <w:rPr>
                <w:rFonts w:eastAsia="Times New Roman" w:cstheme="minorHAnsi"/>
                <w:i/>
                <w:iCs/>
                <w:color w:val="000000"/>
                <w:sz w:val="22"/>
                <w:lang w:eastAsia="en-AU"/>
              </w:rPr>
            </w:pPr>
            <w:r w:rsidRPr="007B1A96">
              <w:rPr>
                <w:rFonts w:eastAsia="Times New Roman" w:cstheme="minorHAnsi"/>
                <w:i/>
                <w:iCs/>
                <w:color w:val="000000"/>
                <w:sz w:val="22"/>
                <w:lang w:eastAsia="en-AU"/>
              </w:rPr>
              <w:t>7.58</w:t>
            </w:r>
          </w:p>
        </w:tc>
        <w:tc>
          <w:tcPr>
            <w:tcW w:w="441" w:type="pct"/>
            <w:tcBorders>
              <w:top w:val="nil"/>
              <w:left w:val="nil"/>
              <w:bottom w:val="single" w:sz="4" w:space="0" w:color="auto"/>
              <w:right w:val="single" w:sz="4" w:space="0" w:color="auto"/>
            </w:tcBorders>
            <w:shd w:val="clear" w:color="auto" w:fill="auto"/>
            <w:vAlign w:val="bottom"/>
            <w:hideMark/>
          </w:tcPr>
          <w:p w14:paraId="62B7DC97" w14:textId="77777777" w:rsidR="007B1A96" w:rsidRPr="007B1A96" w:rsidRDefault="007B1A96" w:rsidP="007B1A96">
            <w:pPr>
              <w:jc w:val="right"/>
              <w:rPr>
                <w:rFonts w:eastAsia="Times New Roman" w:cstheme="minorHAnsi"/>
                <w:color w:val="000000"/>
                <w:sz w:val="22"/>
                <w:lang w:eastAsia="en-AU"/>
              </w:rPr>
            </w:pPr>
            <w:r w:rsidRPr="007B1A96">
              <w:rPr>
                <w:rFonts w:eastAsia="Times New Roman" w:cstheme="minorHAnsi"/>
                <w:color w:val="000000"/>
                <w:sz w:val="22"/>
                <w:lang w:eastAsia="en-AU"/>
              </w:rPr>
              <w:t>41.</w:t>
            </w:r>
            <w:r w:rsidR="002447C1">
              <w:rPr>
                <w:rFonts w:eastAsia="Times New Roman" w:cstheme="minorHAnsi"/>
                <w:color w:val="000000"/>
                <w:sz w:val="22"/>
                <w:lang w:eastAsia="en-AU"/>
              </w:rPr>
              <w:t>27</w:t>
            </w:r>
          </w:p>
        </w:tc>
      </w:tr>
    </w:tbl>
    <w:p w14:paraId="20951954" w14:textId="77777777" w:rsidR="007B1A96" w:rsidRDefault="007B1A96" w:rsidP="00E866F3">
      <w:pPr>
        <w:spacing w:before="120" w:after="120" w:line="264" w:lineRule="auto"/>
        <w:rPr>
          <w:rFonts w:eastAsia="Times New Roman" w:cs="Times New Roman"/>
          <w:sz w:val="22"/>
          <w:szCs w:val="24"/>
          <w:lang w:eastAsia="en-AU"/>
        </w:rPr>
      </w:pPr>
    </w:p>
    <w:p w14:paraId="12F96690" w14:textId="77777777" w:rsidR="007B1A96" w:rsidRDefault="007B1A96" w:rsidP="00E866F3">
      <w:pPr>
        <w:spacing w:before="120" w:after="120" w:line="264" w:lineRule="auto"/>
        <w:rPr>
          <w:rFonts w:eastAsia="Times New Roman" w:cs="Times New Roman"/>
          <w:sz w:val="22"/>
          <w:szCs w:val="24"/>
          <w:lang w:eastAsia="en-AU"/>
        </w:rPr>
      </w:pPr>
    </w:p>
    <w:p w14:paraId="04E05AE3" w14:textId="77777777" w:rsidR="007B1A96" w:rsidRPr="00E866F3" w:rsidRDefault="007B1A96" w:rsidP="00E866F3">
      <w:pPr>
        <w:spacing w:before="120" w:after="120" w:line="264" w:lineRule="auto"/>
        <w:rPr>
          <w:rFonts w:eastAsia="Times New Roman" w:cs="Times New Roman"/>
          <w:sz w:val="22"/>
          <w:szCs w:val="24"/>
          <w:lang w:eastAsia="en-AU"/>
        </w:rPr>
      </w:pPr>
    </w:p>
    <w:p w14:paraId="2E0B6F43" w14:textId="77777777" w:rsidR="00DC1BCD" w:rsidRPr="005147D7" w:rsidRDefault="00DC1BCD" w:rsidP="005147D7"/>
    <w:p w14:paraId="07B82B0B" w14:textId="77777777" w:rsidR="00DC1BCD" w:rsidRPr="005147D7" w:rsidRDefault="00DC1BCD" w:rsidP="00870677">
      <w:pPr>
        <w:pStyle w:val="BodyText"/>
        <w:rPr>
          <w:b/>
          <w:sz w:val="24"/>
          <w:highlight w:val="yellow"/>
        </w:rPr>
      </w:pPr>
    </w:p>
    <w:p w14:paraId="3F580655" w14:textId="77777777" w:rsidR="00870677" w:rsidRDefault="00870677" w:rsidP="002D008C">
      <w:pPr>
        <w:pStyle w:val="BodyText"/>
        <w:rPr>
          <w:highlight w:val="yellow"/>
        </w:rPr>
      </w:pPr>
    </w:p>
    <w:p w14:paraId="2EF7D3B4" w14:textId="77777777" w:rsidR="002966E5" w:rsidRDefault="002D008C" w:rsidP="005147D7">
      <w:pPr>
        <w:pStyle w:val="Heading2"/>
      </w:pPr>
      <w:r>
        <w:br w:type="page"/>
      </w:r>
      <w:bookmarkStart w:id="11" w:name="_Toc27475930"/>
      <w:bookmarkStart w:id="12" w:name="_Hlk26535376"/>
      <w:bookmarkStart w:id="13" w:name="_Hlk26545679"/>
      <w:r w:rsidR="002966E5">
        <w:lastRenderedPageBreak/>
        <w:t xml:space="preserve">Extend support for </w:t>
      </w:r>
      <w:r>
        <w:t>KeepSight</w:t>
      </w:r>
      <w:bookmarkEnd w:id="11"/>
      <w:r>
        <w:t xml:space="preserve"> </w:t>
      </w:r>
      <w:bookmarkEnd w:id="12"/>
    </w:p>
    <w:p w14:paraId="74817EA6" w14:textId="77777777" w:rsidR="00595FFE" w:rsidRDefault="002966E5" w:rsidP="00595FFE">
      <w:pPr>
        <w:pStyle w:val="BodyText"/>
      </w:pPr>
      <w:r>
        <w:t xml:space="preserve">Diabetes is the leading cause of vision loss in working age Australians, with diabetes causing diabetic retinopathy (DR) as well as the increased risk of developing cataracts and glaucoma. </w:t>
      </w:r>
    </w:p>
    <w:p w14:paraId="26E4937A" w14:textId="77777777" w:rsidR="00595FFE" w:rsidRDefault="00595FFE" w:rsidP="00595FFE">
      <w:pPr>
        <w:pStyle w:val="BodyText"/>
      </w:pPr>
      <w:r>
        <w:t>The costs of diabetic eye disease are substantial. For example, the total indirect annual cost of vision loss associated with diabetic macular oedema (DME), one of the most common manifestations of DR, is estimated to be $2.07 billion. This is more than $28,000 per person with DME.</w:t>
      </w:r>
    </w:p>
    <w:p w14:paraId="29FA7BD3" w14:textId="77777777" w:rsidR="002966E5" w:rsidRDefault="002966E5" w:rsidP="002966E5">
      <w:pPr>
        <w:pStyle w:val="BodyText"/>
      </w:pPr>
      <w:r>
        <w:t xml:space="preserve">Currently around 50% of people with diabetes – 630,000 people – are not accessing an eye health check.  The KeepSight initiative aims to ensure that all people with diabetes access the clinically recommended diabetes eye checks.  </w:t>
      </w:r>
    </w:p>
    <w:p w14:paraId="096D1297" w14:textId="77777777" w:rsidR="00595FFE" w:rsidRDefault="002966E5" w:rsidP="002966E5">
      <w:pPr>
        <w:pStyle w:val="BodyText"/>
      </w:pPr>
      <w:r>
        <w:t xml:space="preserve">The KeepSight initiative brings together eye care and diabetes health professionals to encourage people </w:t>
      </w:r>
      <w:r w:rsidR="00595FFE">
        <w:t xml:space="preserve">living with diabetes to register for the program, which will provide reminders and other information </w:t>
      </w:r>
      <w:r w:rsidR="00D614D5">
        <w:t>which</w:t>
      </w:r>
      <w:r w:rsidR="00595FFE">
        <w:t xml:space="preserve"> encourages them to get regular eye examinations. </w:t>
      </w:r>
    </w:p>
    <w:p w14:paraId="386EE287" w14:textId="77777777" w:rsidR="00595FFE" w:rsidRDefault="00595FFE" w:rsidP="002966E5">
      <w:pPr>
        <w:pStyle w:val="BodyText"/>
      </w:pPr>
      <w:r>
        <w:t>The KeepSight portal and platform had its public launch in early 2019, and since that time:</w:t>
      </w:r>
    </w:p>
    <w:p w14:paraId="10F52D50" w14:textId="77777777" w:rsidR="002966E5" w:rsidRPr="005147D7" w:rsidRDefault="00595FFE" w:rsidP="005147D7">
      <w:pPr>
        <w:pStyle w:val="ListBullet0"/>
        <w:rPr>
          <w:szCs w:val="22"/>
        </w:rPr>
      </w:pPr>
      <w:r w:rsidRPr="005147D7">
        <w:rPr>
          <w:sz w:val="22"/>
          <w:szCs w:val="22"/>
        </w:rPr>
        <w:t>Over 3</w:t>
      </w:r>
      <w:r w:rsidR="00BE04F1">
        <w:rPr>
          <w:sz w:val="22"/>
          <w:szCs w:val="22"/>
        </w:rPr>
        <w:t>,2</w:t>
      </w:r>
      <w:r w:rsidRPr="005147D7">
        <w:rPr>
          <w:sz w:val="22"/>
          <w:szCs w:val="22"/>
        </w:rPr>
        <w:t>00 optometrists and around 650 ophthalmologists have registered with the program</w:t>
      </w:r>
      <w:r w:rsidR="00D614D5">
        <w:rPr>
          <w:sz w:val="22"/>
          <w:szCs w:val="22"/>
        </w:rPr>
        <w:t>.</w:t>
      </w:r>
    </w:p>
    <w:p w14:paraId="28D8087E" w14:textId="77777777" w:rsidR="00595FFE" w:rsidRPr="005147D7" w:rsidRDefault="00BE04F1" w:rsidP="005147D7">
      <w:pPr>
        <w:pStyle w:val="ListBullet0"/>
        <w:rPr>
          <w:szCs w:val="22"/>
        </w:rPr>
      </w:pPr>
      <w:r>
        <w:rPr>
          <w:sz w:val="22"/>
          <w:szCs w:val="22"/>
        </w:rPr>
        <w:t>Over 38</w:t>
      </w:r>
      <w:r w:rsidR="00595FFE" w:rsidRPr="005147D7">
        <w:rPr>
          <w:sz w:val="22"/>
          <w:szCs w:val="22"/>
        </w:rPr>
        <w:t>,000 people with diabetes have registered with the program, with approximately 1800 new registrations occurring every week</w:t>
      </w:r>
      <w:r w:rsidR="00D614D5">
        <w:rPr>
          <w:sz w:val="22"/>
          <w:szCs w:val="22"/>
        </w:rPr>
        <w:t>.</w:t>
      </w:r>
    </w:p>
    <w:p w14:paraId="02CA869F" w14:textId="77777777" w:rsidR="002966E5" w:rsidRDefault="00595FFE">
      <w:pPr>
        <w:pStyle w:val="ListBullet0"/>
        <w:rPr>
          <w:sz w:val="22"/>
          <w:szCs w:val="22"/>
        </w:rPr>
      </w:pPr>
      <w:r w:rsidRPr="005147D7">
        <w:rPr>
          <w:sz w:val="22"/>
          <w:szCs w:val="22"/>
        </w:rPr>
        <w:t xml:space="preserve">There have been over </w:t>
      </w:r>
      <w:r w:rsidR="00BE04F1">
        <w:rPr>
          <w:sz w:val="22"/>
          <w:szCs w:val="22"/>
        </w:rPr>
        <w:t>62,000</w:t>
      </w:r>
      <w:r w:rsidRPr="005147D7">
        <w:rPr>
          <w:sz w:val="22"/>
          <w:szCs w:val="22"/>
        </w:rPr>
        <w:t xml:space="preserve"> visits to the </w:t>
      </w:r>
      <w:r w:rsidR="006A78D3">
        <w:rPr>
          <w:sz w:val="22"/>
          <w:szCs w:val="22"/>
        </w:rPr>
        <w:t>KeepSight web</w:t>
      </w:r>
      <w:r w:rsidR="002966E5" w:rsidRPr="005147D7">
        <w:rPr>
          <w:sz w:val="22"/>
          <w:szCs w:val="22"/>
        </w:rPr>
        <w:t>site.</w:t>
      </w:r>
    </w:p>
    <w:p w14:paraId="2E9B21C2" w14:textId="77777777" w:rsidR="002966E5" w:rsidRDefault="002966E5" w:rsidP="002966E5">
      <w:pPr>
        <w:pStyle w:val="Heading3"/>
      </w:pPr>
      <w:bookmarkStart w:id="14" w:name="_Hlk27134450"/>
      <w:r>
        <w:t xml:space="preserve">Priority for 2020-21 Budget investment </w:t>
      </w:r>
    </w:p>
    <w:bookmarkEnd w:id="14"/>
    <w:p w14:paraId="106AD876" w14:textId="77777777" w:rsidR="006A78D3" w:rsidRDefault="006A78D3" w:rsidP="002966E5">
      <w:pPr>
        <w:pStyle w:val="BodyText"/>
      </w:pPr>
      <w:r>
        <w:t>Further</w:t>
      </w:r>
      <w:r w:rsidR="002966E5">
        <w:t xml:space="preserve"> Australian Government funding of $1.5 million per year over three years is needed</w:t>
      </w:r>
      <w:r>
        <w:t xml:space="preserve">. </w:t>
      </w:r>
    </w:p>
    <w:p w14:paraId="6DFEEE32" w14:textId="77777777" w:rsidR="002966E5" w:rsidRDefault="006A78D3" w:rsidP="002966E5">
      <w:pPr>
        <w:pStyle w:val="BodyText"/>
      </w:pPr>
      <w:r>
        <w:t xml:space="preserve">This, along with matched private sector commitment of over $1 million per year, will support the continued roll out, refinement and embedding of this program into practices, systems and the broader community nationwide. </w:t>
      </w:r>
      <w:r w:rsidR="002966E5">
        <w:t xml:space="preserve"> </w:t>
      </w:r>
      <w:bookmarkStart w:id="15" w:name="_GoBack"/>
      <w:bookmarkEnd w:id="13"/>
      <w:bookmarkEnd w:id="15"/>
    </w:p>
    <w:p w14:paraId="6804F15E" w14:textId="77777777" w:rsidR="002D008C" w:rsidRDefault="002D008C" w:rsidP="002D008C">
      <w:pPr>
        <w:pStyle w:val="BodyText"/>
      </w:pPr>
    </w:p>
    <w:p w14:paraId="20AC9112" w14:textId="77777777" w:rsidR="002D008C" w:rsidRDefault="002D008C" w:rsidP="002D008C">
      <w:pPr>
        <w:pStyle w:val="BodyText"/>
      </w:pPr>
    </w:p>
    <w:p w14:paraId="174624ED" w14:textId="77777777" w:rsidR="002D008C" w:rsidRDefault="002D008C" w:rsidP="002D008C">
      <w:pPr>
        <w:pStyle w:val="BodyText"/>
      </w:pPr>
    </w:p>
    <w:p w14:paraId="79035337" w14:textId="77777777" w:rsidR="002D008C" w:rsidRDefault="002D008C" w:rsidP="002D008C">
      <w:pPr>
        <w:pStyle w:val="BodyText"/>
      </w:pPr>
    </w:p>
    <w:p w14:paraId="0F9C4AE3" w14:textId="77777777" w:rsidR="005C2310" w:rsidRDefault="005C2310" w:rsidP="002D008C">
      <w:pPr>
        <w:pStyle w:val="BodyText"/>
        <w:sectPr w:rsidR="005C2310" w:rsidSect="00E62EA0">
          <w:headerReference w:type="default" r:id="rId10"/>
          <w:footerReference w:type="default" r:id="rId11"/>
          <w:pgSz w:w="11906" w:h="16838" w:code="9"/>
          <w:pgMar w:top="2268" w:right="1134" w:bottom="1135" w:left="1134" w:header="567" w:footer="567" w:gutter="0"/>
          <w:cols w:space="708"/>
          <w:docGrid w:linePitch="360"/>
        </w:sectPr>
      </w:pPr>
      <w:r>
        <w:br w:type="page"/>
      </w:r>
    </w:p>
    <w:p w14:paraId="79F19B23" w14:textId="77777777" w:rsidR="005C2310" w:rsidRDefault="005C2310" w:rsidP="005C2310">
      <w:pPr>
        <w:pStyle w:val="Heading1"/>
      </w:pPr>
      <w:bookmarkStart w:id="16" w:name="_Toc27475931"/>
      <w:r>
        <w:lastRenderedPageBreak/>
        <w:t>Summary budget</w:t>
      </w:r>
      <w:bookmarkEnd w:id="16"/>
    </w:p>
    <w:p w14:paraId="44D98227" w14:textId="77777777" w:rsidR="005C2310" w:rsidRPr="005C2310" w:rsidRDefault="005C2310" w:rsidP="00E62EA0">
      <w:pPr>
        <w:pStyle w:val="BodyText"/>
      </w:pPr>
    </w:p>
    <w:p w14:paraId="6762F67F" w14:textId="77777777" w:rsidR="005C2310" w:rsidRDefault="005C2310" w:rsidP="005C2310">
      <w:pPr>
        <w:pStyle w:val="BodyText"/>
      </w:pPr>
    </w:p>
    <w:p w14:paraId="5A97484B" w14:textId="77777777" w:rsidR="0076681B" w:rsidRDefault="0076681B" w:rsidP="005C2310">
      <w:pPr>
        <w:pStyle w:val="BodyText"/>
        <w:rPr>
          <w:sz w:val="18"/>
          <w:szCs w:val="18"/>
        </w:rPr>
      </w:pPr>
      <w:r>
        <w:rPr>
          <w:sz w:val="18"/>
          <w:szCs w:val="18"/>
        </w:rPr>
        <w:t>*Includes establishment funding in 2019-20 to support timely delivery</w:t>
      </w:r>
    </w:p>
    <w:p w14:paraId="78BD3D22" w14:textId="77777777" w:rsidR="005C2310" w:rsidRPr="005C2310" w:rsidRDefault="005C2310" w:rsidP="005C2310">
      <w:pPr>
        <w:pStyle w:val="BodyText"/>
        <w:rPr>
          <w:sz w:val="18"/>
          <w:szCs w:val="18"/>
        </w:rPr>
      </w:pPr>
      <w:r w:rsidRPr="005C2310">
        <w:rPr>
          <w:sz w:val="18"/>
          <w:szCs w:val="18"/>
        </w:rPr>
        <w:t>*</w:t>
      </w:r>
      <w:r w:rsidR="0076681B">
        <w:rPr>
          <w:sz w:val="18"/>
          <w:szCs w:val="18"/>
        </w:rPr>
        <w:t>*</w:t>
      </w:r>
      <w:r w:rsidR="00336ECE">
        <w:rPr>
          <w:sz w:val="18"/>
          <w:szCs w:val="18"/>
        </w:rPr>
        <w:t>Three</w:t>
      </w:r>
      <w:r w:rsidRPr="005C2310">
        <w:rPr>
          <w:sz w:val="18"/>
          <w:szCs w:val="18"/>
        </w:rPr>
        <w:t xml:space="preserve"> years funding being sought at this time, to match confirmed private sector contributions</w:t>
      </w:r>
    </w:p>
    <w:tbl>
      <w:tblPr>
        <w:tblpPr w:leftFromText="180" w:rightFromText="180" w:vertAnchor="page" w:horzAnchor="margin" w:tblpXSpec="right" w:tblpY="2566"/>
        <w:tblW w:w="5000" w:type="pct"/>
        <w:tblLook w:val="04A0" w:firstRow="1" w:lastRow="0" w:firstColumn="1" w:lastColumn="0" w:noHBand="0" w:noVBand="1"/>
      </w:tblPr>
      <w:tblGrid>
        <w:gridCol w:w="5241"/>
        <w:gridCol w:w="1175"/>
        <w:gridCol w:w="1251"/>
        <w:gridCol w:w="1251"/>
        <w:gridCol w:w="1251"/>
        <w:gridCol w:w="1251"/>
        <w:gridCol w:w="1722"/>
      </w:tblGrid>
      <w:tr w:rsidR="005C2310" w:rsidRPr="00E62EA0" w14:paraId="2980AA85" w14:textId="77777777" w:rsidTr="00E62EA0">
        <w:trPr>
          <w:trHeight w:val="300"/>
        </w:trPr>
        <w:tc>
          <w:tcPr>
            <w:tcW w:w="1994" w:type="pct"/>
            <w:tcBorders>
              <w:top w:val="single" w:sz="4" w:space="0" w:color="auto"/>
              <w:left w:val="single" w:sz="4" w:space="0" w:color="auto"/>
              <w:bottom w:val="single" w:sz="4" w:space="0" w:color="auto"/>
              <w:right w:val="single" w:sz="4" w:space="0" w:color="auto"/>
            </w:tcBorders>
            <w:shd w:val="clear" w:color="000000" w:fill="000000"/>
            <w:vAlign w:val="bottom"/>
            <w:hideMark/>
          </w:tcPr>
          <w:p w14:paraId="0EDF4408" w14:textId="77777777" w:rsidR="005C2310" w:rsidRPr="005C2310" w:rsidRDefault="005C2310" w:rsidP="005C2310">
            <w:pPr>
              <w:rPr>
                <w:rFonts w:asciiTheme="majorHAnsi" w:eastAsia="Times New Roman" w:hAnsiTheme="majorHAnsi" w:cstheme="majorHAnsi"/>
                <w:color w:val="FFFFFF"/>
                <w:sz w:val="22"/>
                <w:lang w:eastAsia="en-AU"/>
              </w:rPr>
            </w:pPr>
            <w:r w:rsidRPr="005C2310">
              <w:rPr>
                <w:rFonts w:asciiTheme="majorHAnsi" w:eastAsia="Times New Roman" w:hAnsiTheme="majorHAnsi" w:cstheme="majorHAnsi"/>
                <w:color w:val="FFFFFF"/>
                <w:sz w:val="22"/>
                <w:lang w:eastAsia="en-AU"/>
              </w:rPr>
              <w:t> </w:t>
            </w:r>
          </w:p>
        </w:tc>
        <w:tc>
          <w:tcPr>
            <w:tcW w:w="447" w:type="pct"/>
            <w:tcBorders>
              <w:top w:val="single" w:sz="4" w:space="0" w:color="auto"/>
              <w:left w:val="nil"/>
              <w:bottom w:val="single" w:sz="4" w:space="0" w:color="auto"/>
              <w:right w:val="single" w:sz="4" w:space="0" w:color="auto"/>
            </w:tcBorders>
            <w:shd w:val="clear" w:color="000000" w:fill="000000"/>
            <w:noWrap/>
            <w:vAlign w:val="bottom"/>
            <w:hideMark/>
          </w:tcPr>
          <w:p w14:paraId="264191FE" w14:textId="77777777" w:rsidR="005C2310" w:rsidRPr="00E62EA0" w:rsidRDefault="005C2310" w:rsidP="005C2310">
            <w:pPr>
              <w:rPr>
                <w:rFonts w:asciiTheme="majorHAnsi" w:eastAsia="Times New Roman" w:hAnsiTheme="majorHAnsi" w:cstheme="majorHAnsi"/>
                <w:color w:val="FFFFFF"/>
                <w:sz w:val="22"/>
                <w:lang w:eastAsia="en-AU"/>
              </w:rPr>
            </w:pPr>
            <w:r w:rsidRPr="00E62EA0">
              <w:rPr>
                <w:rFonts w:asciiTheme="majorHAnsi" w:eastAsia="Times New Roman" w:hAnsiTheme="majorHAnsi" w:cstheme="majorHAnsi"/>
                <w:color w:val="FFFFFF"/>
                <w:sz w:val="22"/>
                <w:lang w:eastAsia="en-AU"/>
              </w:rPr>
              <w:t>2020-21</w:t>
            </w:r>
          </w:p>
        </w:tc>
        <w:tc>
          <w:tcPr>
            <w:tcW w:w="476" w:type="pct"/>
            <w:tcBorders>
              <w:top w:val="single" w:sz="4" w:space="0" w:color="auto"/>
              <w:left w:val="nil"/>
              <w:bottom w:val="single" w:sz="4" w:space="0" w:color="auto"/>
              <w:right w:val="single" w:sz="4" w:space="0" w:color="auto"/>
            </w:tcBorders>
            <w:shd w:val="clear" w:color="000000" w:fill="000000"/>
            <w:noWrap/>
            <w:vAlign w:val="bottom"/>
            <w:hideMark/>
          </w:tcPr>
          <w:p w14:paraId="3C8A81C2" w14:textId="77777777" w:rsidR="005C2310" w:rsidRPr="00E62EA0" w:rsidRDefault="005C2310" w:rsidP="005C2310">
            <w:pPr>
              <w:rPr>
                <w:rFonts w:asciiTheme="majorHAnsi" w:eastAsia="Times New Roman" w:hAnsiTheme="majorHAnsi" w:cstheme="majorHAnsi"/>
                <w:color w:val="FFFFFF"/>
                <w:sz w:val="22"/>
                <w:lang w:eastAsia="en-AU"/>
              </w:rPr>
            </w:pPr>
            <w:r w:rsidRPr="00E62EA0">
              <w:rPr>
                <w:rFonts w:asciiTheme="majorHAnsi" w:eastAsia="Times New Roman" w:hAnsiTheme="majorHAnsi" w:cstheme="majorHAnsi"/>
                <w:color w:val="FFFFFF"/>
                <w:sz w:val="22"/>
                <w:lang w:eastAsia="en-AU"/>
              </w:rPr>
              <w:t>2021-22</w:t>
            </w:r>
          </w:p>
        </w:tc>
        <w:tc>
          <w:tcPr>
            <w:tcW w:w="476" w:type="pct"/>
            <w:tcBorders>
              <w:top w:val="single" w:sz="4" w:space="0" w:color="auto"/>
              <w:left w:val="nil"/>
              <w:bottom w:val="single" w:sz="4" w:space="0" w:color="auto"/>
              <w:right w:val="single" w:sz="4" w:space="0" w:color="auto"/>
            </w:tcBorders>
            <w:shd w:val="clear" w:color="000000" w:fill="000000"/>
            <w:noWrap/>
            <w:vAlign w:val="bottom"/>
            <w:hideMark/>
          </w:tcPr>
          <w:p w14:paraId="28A0CA11" w14:textId="77777777" w:rsidR="005C2310" w:rsidRPr="00E62EA0" w:rsidRDefault="005C2310" w:rsidP="005C2310">
            <w:pPr>
              <w:rPr>
                <w:rFonts w:asciiTheme="majorHAnsi" w:eastAsia="Times New Roman" w:hAnsiTheme="majorHAnsi" w:cstheme="majorHAnsi"/>
                <w:color w:val="FFFFFF"/>
                <w:sz w:val="22"/>
                <w:lang w:eastAsia="en-AU"/>
              </w:rPr>
            </w:pPr>
            <w:r w:rsidRPr="00E62EA0">
              <w:rPr>
                <w:rFonts w:asciiTheme="majorHAnsi" w:eastAsia="Times New Roman" w:hAnsiTheme="majorHAnsi" w:cstheme="majorHAnsi"/>
                <w:color w:val="FFFFFF"/>
                <w:sz w:val="22"/>
                <w:lang w:eastAsia="en-AU"/>
              </w:rPr>
              <w:t>2022-23</w:t>
            </w:r>
          </w:p>
        </w:tc>
        <w:tc>
          <w:tcPr>
            <w:tcW w:w="476" w:type="pct"/>
            <w:tcBorders>
              <w:top w:val="single" w:sz="4" w:space="0" w:color="auto"/>
              <w:left w:val="nil"/>
              <w:bottom w:val="single" w:sz="4" w:space="0" w:color="auto"/>
              <w:right w:val="single" w:sz="4" w:space="0" w:color="auto"/>
            </w:tcBorders>
            <w:shd w:val="clear" w:color="000000" w:fill="000000"/>
            <w:noWrap/>
            <w:vAlign w:val="bottom"/>
            <w:hideMark/>
          </w:tcPr>
          <w:p w14:paraId="3B74B8CE" w14:textId="77777777" w:rsidR="005C2310" w:rsidRPr="00E62EA0" w:rsidRDefault="005C2310" w:rsidP="005C2310">
            <w:pPr>
              <w:rPr>
                <w:rFonts w:asciiTheme="majorHAnsi" w:eastAsia="Times New Roman" w:hAnsiTheme="majorHAnsi" w:cstheme="majorHAnsi"/>
                <w:color w:val="FFFFFF"/>
                <w:sz w:val="22"/>
                <w:lang w:eastAsia="en-AU"/>
              </w:rPr>
            </w:pPr>
            <w:r w:rsidRPr="00E62EA0">
              <w:rPr>
                <w:rFonts w:asciiTheme="majorHAnsi" w:eastAsia="Times New Roman" w:hAnsiTheme="majorHAnsi" w:cstheme="majorHAnsi"/>
                <w:color w:val="FFFFFF"/>
                <w:sz w:val="22"/>
                <w:lang w:eastAsia="en-AU"/>
              </w:rPr>
              <w:t>2023-24</w:t>
            </w:r>
          </w:p>
        </w:tc>
        <w:tc>
          <w:tcPr>
            <w:tcW w:w="476" w:type="pct"/>
            <w:tcBorders>
              <w:top w:val="single" w:sz="4" w:space="0" w:color="auto"/>
              <w:left w:val="nil"/>
              <w:bottom w:val="single" w:sz="4" w:space="0" w:color="auto"/>
              <w:right w:val="single" w:sz="4" w:space="0" w:color="auto"/>
            </w:tcBorders>
            <w:shd w:val="clear" w:color="000000" w:fill="000000"/>
            <w:noWrap/>
            <w:vAlign w:val="bottom"/>
            <w:hideMark/>
          </w:tcPr>
          <w:p w14:paraId="07E28D62" w14:textId="77777777" w:rsidR="005C2310" w:rsidRPr="00E62EA0" w:rsidRDefault="005C2310" w:rsidP="005C2310">
            <w:pPr>
              <w:rPr>
                <w:rFonts w:asciiTheme="majorHAnsi" w:eastAsia="Times New Roman" w:hAnsiTheme="majorHAnsi" w:cstheme="majorHAnsi"/>
                <w:color w:val="FFFFFF"/>
                <w:sz w:val="22"/>
                <w:lang w:eastAsia="en-AU"/>
              </w:rPr>
            </w:pPr>
            <w:r w:rsidRPr="00E62EA0">
              <w:rPr>
                <w:rFonts w:asciiTheme="majorHAnsi" w:eastAsia="Times New Roman" w:hAnsiTheme="majorHAnsi" w:cstheme="majorHAnsi"/>
                <w:color w:val="FFFFFF"/>
                <w:sz w:val="22"/>
                <w:lang w:eastAsia="en-AU"/>
              </w:rPr>
              <w:t>2024-25</w:t>
            </w:r>
          </w:p>
        </w:tc>
        <w:tc>
          <w:tcPr>
            <w:tcW w:w="655" w:type="pct"/>
            <w:tcBorders>
              <w:top w:val="single" w:sz="4" w:space="0" w:color="auto"/>
              <w:left w:val="nil"/>
              <w:bottom w:val="single" w:sz="4" w:space="0" w:color="auto"/>
              <w:right w:val="single" w:sz="4" w:space="0" w:color="auto"/>
            </w:tcBorders>
            <w:shd w:val="clear" w:color="000000" w:fill="000000"/>
            <w:noWrap/>
            <w:vAlign w:val="bottom"/>
            <w:hideMark/>
          </w:tcPr>
          <w:p w14:paraId="19569436" w14:textId="77777777" w:rsidR="005C2310" w:rsidRPr="00E62EA0" w:rsidRDefault="005C2310" w:rsidP="005C2310">
            <w:pPr>
              <w:rPr>
                <w:rFonts w:asciiTheme="majorHAnsi" w:eastAsia="Times New Roman" w:hAnsiTheme="majorHAnsi" w:cstheme="majorHAnsi"/>
                <w:color w:val="FFFFFF"/>
                <w:sz w:val="22"/>
                <w:lang w:eastAsia="en-AU"/>
              </w:rPr>
            </w:pPr>
            <w:r w:rsidRPr="00E62EA0">
              <w:rPr>
                <w:rFonts w:asciiTheme="majorHAnsi" w:eastAsia="Times New Roman" w:hAnsiTheme="majorHAnsi" w:cstheme="majorHAnsi"/>
                <w:color w:val="FFFFFF"/>
                <w:sz w:val="22"/>
                <w:lang w:eastAsia="en-AU"/>
              </w:rPr>
              <w:t>total</w:t>
            </w:r>
          </w:p>
        </w:tc>
      </w:tr>
      <w:tr w:rsidR="005C2310" w:rsidRPr="00E62EA0" w14:paraId="7CC98C85" w14:textId="77777777" w:rsidTr="00E62EA0">
        <w:trPr>
          <w:trHeight w:val="600"/>
        </w:trPr>
        <w:tc>
          <w:tcPr>
            <w:tcW w:w="1994" w:type="pct"/>
            <w:tcBorders>
              <w:top w:val="nil"/>
              <w:left w:val="single" w:sz="4" w:space="0" w:color="auto"/>
              <w:bottom w:val="single" w:sz="4" w:space="0" w:color="auto"/>
              <w:right w:val="single" w:sz="4" w:space="0" w:color="auto"/>
            </w:tcBorders>
            <w:shd w:val="clear" w:color="auto" w:fill="auto"/>
            <w:vAlign w:val="bottom"/>
            <w:hideMark/>
          </w:tcPr>
          <w:p w14:paraId="481A6E0F"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End avoidable blindness in Aboriginal and Torres Strait Islander communities</w:t>
            </w:r>
          </w:p>
        </w:tc>
        <w:tc>
          <w:tcPr>
            <w:tcW w:w="447" w:type="pct"/>
            <w:tcBorders>
              <w:top w:val="nil"/>
              <w:left w:val="nil"/>
              <w:bottom w:val="single" w:sz="4" w:space="0" w:color="auto"/>
              <w:right w:val="single" w:sz="4" w:space="0" w:color="auto"/>
            </w:tcBorders>
            <w:shd w:val="clear" w:color="auto" w:fill="auto"/>
            <w:noWrap/>
            <w:vAlign w:val="bottom"/>
            <w:hideMark/>
          </w:tcPr>
          <w:p w14:paraId="38FD02B3"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9.13</w:t>
            </w:r>
          </w:p>
        </w:tc>
        <w:tc>
          <w:tcPr>
            <w:tcW w:w="476" w:type="pct"/>
            <w:tcBorders>
              <w:top w:val="nil"/>
              <w:left w:val="nil"/>
              <w:bottom w:val="single" w:sz="4" w:space="0" w:color="auto"/>
              <w:right w:val="single" w:sz="4" w:space="0" w:color="auto"/>
            </w:tcBorders>
            <w:shd w:val="clear" w:color="auto" w:fill="auto"/>
            <w:noWrap/>
            <w:vAlign w:val="bottom"/>
            <w:hideMark/>
          </w:tcPr>
          <w:p w14:paraId="5D5D7148"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15.12</w:t>
            </w:r>
          </w:p>
        </w:tc>
        <w:tc>
          <w:tcPr>
            <w:tcW w:w="476" w:type="pct"/>
            <w:tcBorders>
              <w:top w:val="nil"/>
              <w:left w:val="nil"/>
              <w:bottom w:val="single" w:sz="4" w:space="0" w:color="auto"/>
              <w:right w:val="single" w:sz="4" w:space="0" w:color="auto"/>
            </w:tcBorders>
            <w:shd w:val="clear" w:color="auto" w:fill="auto"/>
            <w:noWrap/>
            <w:vAlign w:val="bottom"/>
            <w:hideMark/>
          </w:tcPr>
          <w:p w14:paraId="64CFB258"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14.55</w:t>
            </w:r>
          </w:p>
        </w:tc>
        <w:tc>
          <w:tcPr>
            <w:tcW w:w="476" w:type="pct"/>
            <w:tcBorders>
              <w:top w:val="nil"/>
              <w:left w:val="nil"/>
              <w:bottom w:val="single" w:sz="4" w:space="0" w:color="auto"/>
              <w:right w:val="single" w:sz="4" w:space="0" w:color="auto"/>
            </w:tcBorders>
            <w:shd w:val="clear" w:color="auto" w:fill="auto"/>
            <w:noWrap/>
            <w:vAlign w:val="bottom"/>
            <w:hideMark/>
          </w:tcPr>
          <w:p w14:paraId="0EF9B5FC"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15.48</w:t>
            </w:r>
          </w:p>
        </w:tc>
        <w:tc>
          <w:tcPr>
            <w:tcW w:w="476" w:type="pct"/>
            <w:tcBorders>
              <w:top w:val="nil"/>
              <w:left w:val="nil"/>
              <w:bottom w:val="single" w:sz="4" w:space="0" w:color="auto"/>
              <w:right w:val="single" w:sz="4" w:space="0" w:color="auto"/>
            </w:tcBorders>
            <w:shd w:val="clear" w:color="auto" w:fill="auto"/>
            <w:noWrap/>
            <w:vAlign w:val="bottom"/>
            <w:hideMark/>
          </w:tcPr>
          <w:p w14:paraId="1CC73A20"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15.89</w:t>
            </w:r>
          </w:p>
        </w:tc>
        <w:tc>
          <w:tcPr>
            <w:tcW w:w="655" w:type="pct"/>
            <w:tcBorders>
              <w:top w:val="nil"/>
              <w:left w:val="nil"/>
              <w:bottom w:val="single" w:sz="4" w:space="0" w:color="auto"/>
              <w:right w:val="single" w:sz="4" w:space="0" w:color="auto"/>
            </w:tcBorders>
            <w:shd w:val="clear" w:color="auto" w:fill="auto"/>
            <w:noWrap/>
            <w:vAlign w:val="bottom"/>
            <w:hideMark/>
          </w:tcPr>
          <w:p w14:paraId="220D8C3C"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70.17</w:t>
            </w:r>
          </w:p>
        </w:tc>
      </w:tr>
      <w:tr w:rsidR="005C2310" w:rsidRPr="00E62EA0" w14:paraId="1BB4B39F" w14:textId="77777777" w:rsidTr="00E62EA0">
        <w:trPr>
          <w:trHeight w:val="900"/>
        </w:trPr>
        <w:tc>
          <w:tcPr>
            <w:tcW w:w="1994" w:type="pct"/>
            <w:tcBorders>
              <w:top w:val="nil"/>
              <w:left w:val="single" w:sz="4" w:space="0" w:color="auto"/>
              <w:bottom w:val="single" w:sz="4" w:space="0" w:color="auto"/>
              <w:right w:val="single" w:sz="4" w:space="0" w:color="auto"/>
            </w:tcBorders>
            <w:shd w:val="clear" w:color="auto" w:fill="auto"/>
            <w:vAlign w:val="bottom"/>
            <w:hideMark/>
          </w:tcPr>
          <w:p w14:paraId="5B20C965"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Improve access to assistive technologies for people who are blind or vision impaired</w:t>
            </w:r>
          </w:p>
        </w:tc>
        <w:tc>
          <w:tcPr>
            <w:tcW w:w="447" w:type="pct"/>
            <w:tcBorders>
              <w:top w:val="nil"/>
              <w:left w:val="nil"/>
              <w:bottom w:val="single" w:sz="4" w:space="0" w:color="auto"/>
              <w:right w:val="single" w:sz="4" w:space="0" w:color="auto"/>
            </w:tcBorders>
            <w:shd w:val="clear" w:color="auto" w:fill="auto"/>
            <w:noWrap/>
            <w:vAlign w:val="bottom"/>
            <w:hideMark/>
          </w:tcPr>
          <w:p w14:paraId="13DB03EE"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54328BF0"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322F6528"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5F4889BE"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7CD93289"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655" w:type="pct"/>
            <w:tcBorders>
              <w:top w:val="nil"/>
              <w:left w:val="nil"/>
              <w:bottom w:val="single" w:sz="4" w:space="0" w:color="auto"/>
              <w:right w:val="single" w:sz="4" w:space="0" w:color="auto"/>
            </w:tcBorders>
            <w:shd w:val="clear" w:color="auto" w:fill="auto"/>
            <w:noWrap/>
            <w:vAlign w:val="bottom"/>
            <w:hideMark/>
          </w:tcPr>
          <w:p w14:paraId="33749CEB"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r>
      <w:tr w:rsidR="005C2310" w:rsidRPr="00E62EA0" w14:paraId="345B1A10" w14:textId="77777777" w:rsidTr="00E62EA0">
        <w:trPr>
          <w:trHeight w:val="300"/>
        </w:trPr>
        <w:tc>
          <w:tcPr>
            <w:tcW w:w="1994" w:type="pct"/>
            <w:tcBorders>
              <w:top w:val="nil"/>
              <w:left w:val="single" w:sz="4" w:space="0" w:color="auto"/>
              <w:bottom w:val="single" w:sz="4" w:space="0" w:color="auto"/>
              <w:right w:val="single" w:sz="4" w:space="0" w:color="auto"/>
            </w:tcBorders>
            <w:shd w:val="clear" w:color="auto" w:fill="auto"/>
            <w:vAlign w:val="bottom"/>
            <w:hideMark/>
          </w:tcPr>
          <w:p w14:paraId="7E5BA2D7"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A second National Eye Health Survey</w:t>
            </w:r>
          </w:p>
        </w:tc>
        <w:tc>
          <w:tcPr>
            <w:tcW w:w="447" w:type="pct"/>
            <w:tcBorders>
              <w:top w:val="nil"/>
              <w:left w:val="nil"/>
              <w:bottom w:val="single" w:sz="4" w:space="0" w:color="auto"/>
              <w:right w:val="single" w:sz="4" w:space="0" w:color="auto"/>
            </w:tcBorders>
            <w:shd w:val="clear" w:color="auto" w:fill="auto"/>
            <w:noWrap/>
            <w:vAlign w:val="bottom"/>
            <w:hideMark/>
          </w:tcPr>
          <w:p w14:paraId="1C830845"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3.19</w:t>
            </w:r>
            <w:r w:rsidR="0076681B" w:rsidRPr="00E62EA0">
              <w:rPr>
                <w:rFonts w:asciiTheme="majorHAnsi" w:eastAsia="Times New Roman" w:hAnsiTheme="majorHAnsi" w:cstheme="majorHAnsi"/>
                <w:color w:val="000000"/>
                <w:sz w:val="22"/>
                <w:lang w:eastAsia="en-AU"/>
              </w:rPr>
              <w:t>*</w:t>
            </w:r>
          </w:p>
        </w:tc>
        <w:tc>
          <w:tcPr>
            <w:tcW w:w="476" w:type="pct"/>
            <w:tcBorders>
              <w:top w:val="nil"/>
              <w:left w:val="nil"/>
              <w:bottom w:val="single" w:sz="4" w:space="0" w:color="auto"/>
              <w:right w:val="single" w:sz="4" w:space="0" w:color="auto"/>
            </w:tcBorders>
            <w:shd w:val="clear" w:color="auto" w:fill="auto"/>
            <w:noWrap/>
            <w:vAlign w:val="bottom"/>
            <w:hideMark/>
          </w:tcPr>
          <w:p w14:paraId="69E103C6"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0.80</w:t>
            </w:r>
          </w:p>
        </w:tc>
        <w:tc>
          <w:tcPr>
            <w:tcW w:w="476" w:type="pct"/>
            <w:tcBorders>
              <w:top w:val="nil"/>
              <w:left w:val="nil"/>
              <w:bottom w:val="single" w:sz="4" w:space="0" w:color="auto"/>
              <w:right w:val="single" w:sz="4" w:space="0" w:color="auto"/>
            </w:tcBorders>
            <w:shd w:val="clear" w:color="auto" w:fill="auto"/>
            <w:noWrap/>
            <w:vAlign w:val="bottom"/>
            <w:hideMark/>
          </w:tcPr>
          <w:p w14:paraId="785AB26B"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4A7BBDDD"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082F9F08"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655" w:type="pct"/>
            <w:tcBorders>
              <w:top w:val="nil"/>
              <w:left w:val="nil"/>
              <w:bottom w:val="single" w:sz="4" w:space="0" w:color="auto"/>
              <w:right w:val="single" w:sz="4" w:space="0" w:color="auto"/>
            </w:tcBorders>
            <w:shd w:val="clear" w:color="auto" w:fill="auto"/>
            <w:noWrap/>
            <w:vAlign w:val="bottom"/>
            <w:hideMark/>
          </w:tcPr>
          <w:p w14:paraId="25F49DEB"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3.99</w:t>
            </w:r>
          </w:p>
        </w:tc>
      </w:tr>
      <w:tr w:rsidR="005C2310" w:rsidRPr="00E62EA0" w14:paraId="3CC1B387" w14:textId="77777777" w:rsidTr="00E62EA0">
        <w:trPr>
          <w:trHeight w:val="600"/>
        </w:trPr>
        <w:tc>
          <w:tcPr>
            <w:tcW w:w="1994" w:type="pct"/>
            <w:tcBorders>
              <w:top w:val="nil"/>
              <w:left w:val="single" w:sz="4" w:space="0" w:color="auto"/>
              <w:bottom w:val="single" w:sz="4" w:space="0" w:color="auto"/>
              <w:right w:val="single" w:sz="4" w:space="0" w:color="auto"/>
            </w:tcBorders>
            <w:shd w:val="clear" w:color="auto" w:fill="auto"/>
            <w:vAlign w:val="bottom"/>
            <w:hideMark/>
          </w:tcPr>
          <w:p w14:paraId="26039B8D" w14:textId="77777777" w:rsidR="005C2310" w:rsidRPr="00E62EA0" w:rsidRDefault="0076681B"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Getting to 2020 – tackling blindness in PNG</w:t>
            </w:r>
          </w:p>
        </w:tc>
        <w:tc>
          <w:tcPr>
            <w:tcW w:w="447" w:type="pct"/>
            <w:tcBorders>
              <w:top w:val="nil"/>
              <w:left w:val="nil"/>
              <w:bottom w:val="single" w:sz="4" w:space="0" w:color="auto"/>
              <w:right w:val="single" w:sz="4" w:space="0" w:color="auto"/>
            </w:tcBorders>
            <w:shd w:val="clear" w:color="auto" w:fill="auto"/>
            <w:noWrap/>
            <w:vAlign w:val="bottom"/>
          </w:tcPr>
          <w:p w14:paraId="73732B7D" w14:textId="77777777" w:rsidR="005C2310" w:rsidRPr="00E62EA0" w:rsidRDefault="002447C1" w:rsidP="005C2310">
            <w:pPr>
              <w:jc w:val="right"/>
              <w:rPr>
                <w:rFonts w:asciiTheme="majorHAnsi" w:eastAsia="Times New Roman" w:hAnsiTheme="majorHAnsi" w:cstheme="majorHAnsi"/>
                <w:color w:val="000000"/>
                <w:sz w:val="22"/>
                <w:lang w:eastAsia="en-AU"/>
              </w:rPr>
            </w:pPr>
            <w:r>
              <w:rPr>
                <w:rFonts w:asciiTheme="majorHAnsi" w:eastAsia="Times New Roman" w:hAnsiTheme="majorHAnsi" w:cstheme="majorHAnsi"/>
                <w:color w:val="000000"/>
                <w:sz w:val="22"/>
                <w:lang w:eastAsia="en-AU"/>
              </w:rPr>
              <w:t>3.99</w:t>
            </w:r>
          </w:p>
        </w:tc>
        <w:tc>
          <w:tcPr>
            <w:tcW w:w="476" w:type="pct"/>
            <w:tcBorders>
              <w:top w:val="nil"/>
              <w:left w:val="nil"/>
              <w:bottom w:val="single" w:sz="4" w:space="0" w:color="auto"/>
              <w:right w:val="single" w:sz="4" w:space="0" w:color="auto"/>
            </w:tcBorders>
            <w:shd w:val="clear" w:color="auto" w:fill="auto"/>
            <w:noWrap/>
            <w:vAlign w:val="bottom"/>
          </w:tcPr>
          <w:p w14:paraId="24584E40" w14:textId="77777777" w:rsidR="005C2310" w:rsidRPr="00E62EA0" w:rsidRDefault="00E62EA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13.</w:t>
            </w:r>
            <w:r w:rsidR="002447C1">
              <w:rPr>
                <w:rFonts w:asciiTheme="majorHAnsi" w:eastAsia="Times New Roman" w:hAnsiTheme="majorHAnsi" w:cstheme="majorHAnsi"/>
                <w:color w:val="000000"/>
                <w:sz w:val="22"/>
                <w:lang w:eastAsia="en-AU"/>
              </w:rPr>
              <w:t>58</w:t>
            </w:r>
          </w:p>
        </w:tc>
        <w:tc>
          <w:tcPr>
            <w:tcW w:w="476" w:type="pct"/>
            <w:tcBorders>
              <w:top w:val="nil"/>
              <w:left w:val="nil"/>
              <w:bottom w:val="single" w:sz="4" w:space="0" w:color="auto"/>
              <w:right w:val="single" w:sz="4" w:space="0" w:color="auto"/>
            </w:tcBorders>
            <w:shd w:val="clear" w:color="auto" w:fill="auto"/>
            <w:noWrap/>
            <w:vAlign w:val="bottom"/>
          </w:tcPr>
          <w:p w14:paraId="6ABEC031" w14:textId="77777777" w:rsidR="005C2310" w:rsidRPr="00E62EA0" w:rsidRDefault="00E62EA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8.</w:t>
            </w:r>
            <w:r w:rsidR="002447C1">
              <w:rPr>
                <w:rFonts w:asciiTheme="majorHAnsi" w:eastAsia="Times New Roman" w:hAnsiTheme="majorHAnsi" w:cstheme="majorHAnsi"/>
                <w:color w:val="000000"/>
                <w:sz w:val="22"/>
                <w:lang w:eastAsia="en-AU"/>
              </w:rPr>
              <w:t>75</w:t>
            </w:r>
          </w:p>
        </w:tc>
        <w:tc>
          <w:tcPr>
            <w:tcW w:w="476" w:type="pct"/>
            <w:tcBorders>
              <w:top w:val="nil"/>
              <w:left w:val="nil"/>
              <w:bottom w:val="single" w:sz="4" w:space="0" w:color="auto"/>
              <w:right w:val="single" w:sz="4" w:space="0" w:color="auto"/>
            </w:tcBorders>
            <w:shd w:val="clear" w:color="auto" w:fill="auto"/>
            <w:noWrap/>
            <w:vAlign w:val="bottom"/>
          </w:tcPr>
          <w:p w14:paraId="32E01AED" w14:textId="77777777" w:rsidR="005C2310" w:rsidRPr="00E62EA0" w:rsidRDefault="00E62EA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7.</w:t>
            </w:r>
            <w:r w:rsidR="002447C1">
              <w:rPr>
                <w:rFonts w:asciiTheme="majorHAnsi" w:eastAsia="Times New Roman" w:hAnsiTheme="majorHAnsi" w:cstheme="majorHAnsi"/>
                <w:color w:val="000000"/>
                <w:sz w:val="22"/>
                <w:lang w:eastAsia="en-AU"/>
              </w:rPr>
              <w:t>38</w:t>
            </w:r>
          </w:p>
        </w:tc>
        <w:tc>
          <w:tcPr>
            <w:tcW w:w="476" w:type="pct"/>
            <w:tcBorders>
              <w:top w:val="nil"/>
              <w:left w:val="nil"/>
              <w:bottom w:val="single" w:sz="4" w:space="0" w:color="auto"/>
              <w:right w:val="single" w:sz="4" w:space="0" w:color="auto"/>
            </w:tcBorders>
            <w:shd w:val="clear" w:color="auto" w:fill="auto"/>
            <w:noWrap/>
            <w:vAlign w:val="bottom"/>
          </w:tcPr>
          <w:p w14:paraId="5A75CAFD" w14:textId="77777777" w:rsidR="005C2310" w:rsidRPr="00E62EA0" w:rsidRDefault="00E62EA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7.5</w:t>
            </w:r>
            <w:r w:rsidR="002447C1">
              <w:rPr>
                <w:rFonts w:asciiTheme="majorHAnsi" w:eastAsia="Times New Roman" w:hAnsiTheme="majorHAnsi" w:cstheme="majorHAnsi"/>
                <w:color w:val="000000"/>
                <w:sz w:val="22"/>
                <w:lang w:eastAsia="en-AU"/>
              </w:rPr>
              <w:t>7</w:t>
            </w:r>
          </w:p>
        </w:tc>
        <w:tc>
          <w:tcPr>
            <w:tcW w:w="655" w:type="pct"/>
            <w:tcBorders>
              <w:top w:val="nil"/>
              <w:left w:val="nil"/>
              <w:bottom w:val="single" w:sz="4" w:space="0" w:color="auto"/>
              <w:right w:val="single" w:sz="4" w:space="0" w:color="auto"/>
            </w:tcBorders>
            <w:shd w:val="clear" w:color="auto" w:fill="auto"/>
            <w:noWrap/>
            <w:vAlign w:val="bottom"/>
          </w:tcPr>
          <w:p w14:paraId="73F94464" w14:textId="77777777" w:rsidR="005C2310" w:rsidRPr="00E62EA0" w:rsidRDefault="00E62EA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41.</w:t>
            </w:r>
            <w:r w:rsidR="002447C1">
              <w:rPr>
                <w:rFonts w:asciiTheme="majorHAnsi" w:eastAsia="Times New Roman" w:hAnsiTheme="majorHAnsi" w:cstheme="majorHAnsi"/>
                <w:color w:val="000000"/>
                <w:sz w:val="22"/>
                <w:lang w:eastAsia="en-AU"/>
              </w:rPr>
              <w:t>27</w:t>
            </w:r>
          </w:p>
        </w:tc>
      </w:tr>
      <w:tr w:rsidR="005C2310" w:rsidRPr="005C2310" w14:paraId="1275A49C" w14:textId="77777777" w:rsidTr="00E62EA0">
        <w:trPr>
          <w:trHeight w:val="300"/>
        </w:trPr>
        <w:tc>
          <w:tcPr>
            <w:tcW w:w="1994" w:type="pct"/>
            <w:tcBorders>
              <w:top w:val="nil"/>
              <w:left w:val="single" w:sz="4" w:space="0" w:color="auto"/>
              <w:bottom w:val="single" w:sz="4" w:space="0" w:color="auto"/>
              <w:right w:val="single" w:sz="4" w:space="0" w:color="auto"/>
            </w:tcBorders>
            <w:shd w:val="clear" w:color="auto" w:fill="auto"/>
            <w:vAlign w:val="bottom"/>
            <w:hideMark/>
          </w:tcPr>
          <w:p w14:paraId="6E111DFA"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Extend support for KeepSight *</w:t>
            </w:r>
            <w:r w:rsidR="0076681B" w:rsidRPr="00E62EA0">
              <w:rPr>
                <w:rFonts w:asciiTheme="majorHAnsi" w:eastAsia="Times New Roman" w:hAnsiTheme="majorHAnsi" w:cstheme="majorHAnsi"/>
                <w:color w:val="000000"/>
                <w:sz w:val="22"/>
                <w:lang w:eastAsia="en-AU"/>
              </w:rPr>
              <w:t>*</w:t>
            </w:r>
          </w:p>
        </w:tc>
        <w:tc>
          <w:tcPr>
            <w:tcW w:w="447" w:type="pct"/>
            <w:tcBorders>
              <w:top w:val="nil"/>
              <w:left w:val="nil"/>
              <w:bottom w:val="single" w:sz="4" w:space="0" w:color="auto"/>
              <w:right w:val="single" w:sz="4" w:space="0" w:color="auto"/>
            </w:tcBorders>
            <w:shd w:val="clear" w:color="auto" w:fill="auto"/>
            <w:noWrap/>
            <w:vAlign w:val="bottom"/>
            <w:hideMark/>
          </w:tcPr>
          <w:p w14:paraId="21B7FB28"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1.50</w:t>
            </w:r>
          </w:p>
        </w:tc>
        <w:tc>
          <w:tcPr>
            <w:tcW w:w="476" w:type="pct"/>
            <w:tcBorders>
              <w:top w:val="nil"/>
              <w:left w:val="nil"/>
              <w:bottom w:val="single" w:sz="4" w:space="0" w:color="auto"/>
              <w:right w:val="single" w:sz="4" w:space="0" w:color="auto"/>
            </w:tcBorders>
            <w:shd w:val="clear" w:color="auto" w:fill="auto"/>
            <w:noWrap/>
            <w:vAlign w:val="bottom"/>
            <w:hideMark/>
          </w:tcPr>
          <w:p w14:paraId="2A2AE069"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1.50</w:t>
            </w:r>
          </w:p>
        </w:tc>
        <w:tc>
          <w:tcPr>
            <w:tcW w:w="476" w:type="pct"/>
            <w:tcBorders>
              <w:top w:val="nil"/>
              <w:left w:val="nil"/>
              <w:bottom w:val="single" w:sz="4" w:space="0" w:color="auto"/>
              <w:right w:val="single" w:sz="4" w:space="0" w:color="auto"/>
            </w:tcBorders>
            <w:shd w:val="clear" w:color="auto" w:fill="auto"/>
            <w:noWrap/>
            <w:vAlign w:val="bottom"/>
            <w:hideMark/>
          </w:tcPr>
          <w:p w14:paraId="49EFDC6F" w14:textId="77777777" w:rsidR="005C2310" w:rsidRPr="00E62EA0" w:rsidRDefault="005C2310" w:rsidP="005C2310">
            <w:pPr>
              <w:jc w:val="right"/>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1.50</w:t>
            </w:r>
          </w:p>
        </w:tc>
        <w:tc>
          <w:tcPr>
            <w:tcW w:w="476" w:type="pct"/>
            <w:tcBorders>
              <w:top w:val="nil"/>
              <w:left w:val="nil"/>
              <w:bottom w:val="single" w:sz="4" w:space="0" w:color="auto"/>
              <w:right w:val="single" w:sz="4" w:space="0" w:color="auto"/>
            </w:tcBorders>
            <w:shd w:val="clear" w:color="auto" w:fill="auto"/>
            <w:noWrap/>
            <w:vAlign w:val="bottom"/>
            <w:hideMark/>
          </w:tcPr>
          <w:p w14:paraId="11E86252"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476" w:type="pct"/>
            <w:tcBorders>
              <w:top w:val="nil"/>
              <w:left w:val="nil"/>
              <w:bottom w:val="single" w:sz="4" w:space="0" w:color="auto"/>
              <w:right w:val="single" w:sz="4" w:space="0" w:color="auto"/>
            </w:tcBorders>
            <w:shd w:val="clear" w:color="auto" w:fill="auto"/>
            <w:noWrap/>
            <w:vAlign w:val="bottom"/>
            <w:hideMark/>
          </w:tcPr>
          <w:p w14:paraId="1B10AF05" w14:textId="77777777" w:rsidR="005C2310" w:rsidRPr="00E62EA0" w:rsidRDefault="005C2310" w:rsidP="005C2310">
            <w:pPr>
              <w:rPr>
                <w:rFonts w:asciiTheme="majorHAnsi" w:eastAsia="Times New Roman" w:hAnsiTheme="majorHAnsi" w:cstheme="majorHAnsi"/>
                <w:color w:val="000000"/>
                <w:sz w:val="22"/>
                <w:lang w:eastAsia="en-AU"/>
              </w:rPr>
            </w:pPr>
            <w:r w:rsidRPr="00E62EA0">
              <w:rPr>
                <w:rFonts w:asciiTheme="majorHAnsi" w:eastAsia="Times New Roman" w:hAnsiTheme="majorHAnsi" w:cstheme="majorHAnsi"/>
                <w:color w:val="000000"/>
                <w:sz w:val="22"/>
                <w:lang w:eastAsia="en-AU"/>
              </w:rPr>
              <w:t> </w:t>
            </w:r>
          </w:p>
        </w:tc>
        <w:tc>
          <w:tcPr>
            <w:tcW w:w="655" w:type="pct"/>
            <w:tcBorders>
              <w:top w:val="nil"/>
              <w:left w:val="nil"/>
              <w:bottom w:val="single" w:sz="4" w:space="0" w:color="auto"/>
              <w:right w:val="single" w:sz="4" w:space="0" w:color="auto"/>
            </w:tcBorders>
            <w:shd w:val="clear" w:color="auto" w:fill="auto"/>
            <w:noWrap/>
            <w:vAlign w:val="bottom"/>
            <w:hideMark/>
          </w:tcPr>
          <w:p w14:paraId="6A171460" w14:textId="77777777" w:rsidR="005C2310" w:rsidRPr="00E62EA0" w:rsidRDefault="005C2310" w:rsidP="005C2310">
            <w:pPr>
              <w:jc w:val="right"/>
              <w:rPr>
                <w:rFonts w:eastAsia="Times New Roman" w:cstheme="minorHAnsi"/>
                <w:color w:val="000000"/>
                <w:sz w:val="22"/>
                <w:lang w:eastAsia="en-AU"/>
              </w:rPr>
            </w:pPr>
            <w:r w:rsidRPr="00E62EA0">
              <w:rPr>
                <w:rFonts w:asciiTheme="majorHAnsi" w:eastAsia="Times New Roman" w:hAnsiTheme="majorHAnsi" w:cstheme="majorHAnsi"/>
                <w:color w:val="000000"/>
                <w:sz w:val="22"/>
                <w:lang w:eastAsia="en-AU"/>
              </w:rPr>
              <w:t> 4.50</w:t>
            </w:r>
          </w:p>
        </w:tc>
      </w:tr>
    </w:tbl>
    <w:p w14:paraId="4638A035" w14:textId="77777777" w:rsidR="002D008C" w:rsidRDefault="002D008C" w:rsidP="002D008C">
      <w:pPr>
        <w:pStyle w:val="BodyText"/>
      </w:pPr>
    </w:p>
    <w:p w14:paraId="0566D930" w14:textId="77777777" w:rsidR="002D008C" w:rsidRPr="005C2310" w:rsidRDefault="002D008C" w:rsidP="002D008C">
      <w:pPr>
        <w:pStyle w:val="BodyText"/>
        <w:rPr>
          <w:sz w:val="20"/>
          <w:szCs w:val="20"/>
        </w:rPr>
      </w:pPr>
    </w:p>
    <w:p w14:paraId="55A6C84C" w14:textId="77777777" w:rsidR="008E6057" w:rsidRDefault="008E6057" w:rsidP="002D008C">
      <w:pPr>
        <w:pStyle w:val="BodyText"/>
      </w:pPr>
    </w:p>
    <w:p w14:paraId="7A5EFED9" w14:textId="77777777" w:rsidR="008B0A35" w:rsidRPr="008436A9" w:rsidRDefault="008B0A35" w:rsidP="008436A9">
      <w:pPr>
        <w:spacing w:before="80" w:after="80"/>
        <w:rPr>
          <w:rFonts w:eastAsia="Times New Roman" w:cs="Times New Roman"/>
          <w:szCs w:val="24"/>
          <w:lang w:eastAsia="en-AU"/>
        </w:rPr>
      </w:pPr>
    </w:p>
    <w:sectPr w:rsidR="008B0A35" w:rsidRPr="008436A9" w:rsidSect="005C2310">
      <w:pgSz w:w="16838" w:h="11906" w:orient="landscape" w:code="9"/>
      <w:pgMar w:top="1134" w:right="226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117FE" w14:textId="77777777" w:rsidR="00EF075F" w:rsidRDefault="00EF075F" w:rsidP="00185154">
      <w:r>
        <w:separator/>
      </w:r>
    </w:p>
    <w:p w14:paraId="140232C2" w14:textId="77777777" w:rsidR="00EF075F" w:rsidRDefault="00EF075F"/>
  </w:endnote>
  <w:endnote w:type="continuationSeparator" w:id="0">
    <w:p w14:paraId="50E2E26E" w14:textId="77777777" w:rsidR="00EF075F" w:rsidRDefault="00EF075F" w:rsidP="00185154">
      <w:r>
        <w:continuationSeparator/>
      </w:r>
    </w:p>
    <w:p w14:paraId="2B157B7E" w14:textId="77777777" w:rsidR="00EF075F" w:rsidRDefault="00EF07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F34C7" w14:textId="77777777" w:rsidR="00DC1BCD" w:rsidRDefault="00DC1BCD"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DC1BCD" w:rsidRPr="00007607" w14:paraId="6F2257B7" w14:textId="77777777" w:rsidTr="00875F0D">
      <w:trPr>
        <w:tblHeader/>
      </w:trPr>
      <w:tc>
        <w:tcPr>
          <w:tcW w:w="0" w:type="auto"/>
        </w:tcPr>
        <w:p w14:paraId="4133EB90" w14:textId="77777777" w:rsidR="00DC1BCD" w:rsidRPr="003C20B8" w:rsidRDefault="0061078A" w:rsidP="00DC1BCD">
          <w:pPr>
            <w:pStyle w:val="Footer"/>
            <w:tabs>
              <w:tab w:val="clear" w:pos="567"/>
              <w:tab w:val="clear" w:pos="9639"/>
            </w:tabs>
          </w:pPr>
          <w:sdt>
            <w:sdtPr>
              <w:alias w:val="Title"/>
              <w:tag w:val=""/>
              <w:id w:val="351934090"/>
              <w:placeholder>
                <w:docPart w:val="A2F3F6CEF7D34884838E1E14137B098D"/>
              </w:placeholder>
              <w:dataBinding w:prefixMappings="xmlns:ns0='http://purl.org/dc/elements/1.1/' xmlns:ns1='http://schemas.openxmlformats.org/package/2006/metadata/core-properties' " w:xpath="/ns1:coreProperties[1]/ns0:title[1]" w:storeItemID="{6C3C8BC8-F283-45AE-878A-BAB7291924A1}"/>
              <w:text/>
            </w:sdtPr>
            <w:sdtEndPr/>
            <w:sdtContent>
              <w:r w:rsidR="00DC1BCD">
                <w:t>2020-21 Pre-Budget Submission</w:t>
              </w:r>
            </w:sdtContent>
          </w:sdt>
          <w:r w:rsidR="00DC1BCD" w:rsidRPr="003C20B8">
            <w:t xml:space="preserve"> </w:t>
          </w:r>
        </w:p>
      </w:tc>
      <w:tc>
        <w:tcPr>
          <w:tcW w:w="567" w:type="dxa"/>
        </w:tcPr>
        <w:p w14:paraId="7FE0D397" w14:textId="77777777" w:rsidR="00DC1BCD" w:rsidRPr="00007607" w:rsidRDefault="00DC1BCD" w:rsidP="003C20B8">
          <w:pPr>
            <w:pStyle w:val="Footer"/>
            <w:tabs>
              <w:tab w:val="clear" w:pos="567"/>
              <w:tab w:val="clear" w:pos="9639"/>
            </w:tabs>
            <w:jc w:val="right"/>
            <w:rPr>
              <w:iCs/>
            </w:rPr>
          </w:pPr>
          <w:r w:rsidRPr="003C20B8">
            <w:rPr>
              <w:noProof w:val="0"/>
            </w:rPr>
            <w:fldChar w:fldCharType="begin"/>
          </w:r>
          <w:r w:rsidRPr="003C20B8">
            <w:instrText xml:space="preserve"> PAGE   \* MERGEFORMAT </w:instrText>
          </w:r>
          <w:r w:rsidRPr="003C20B8">
            <w:rPr>
              <w:noProof w:val="0"/>
            </w:rPr>
            <w:fldChar w:fldCharType="separate"/>
          </w:r>
          <w:r w:rsidR="008D0363">
            <w:t>13</w:t>
          </w:r>
          <w:r w:rsidRPr="003C20B8">
            <w:fldChar w:fldCharType="end"/>
          </w:r>
        </w:p>
      </w:tc>
    </w:tr>
  </w:tbl>
  <w:p w14:paraId="138BFE18" w14:textId="77777777" w:rsidR="00DC1BCD" w:rsidRPr="003C20B8" w:rsidRDefault="00DC1BCD" w:rsidP="003C20B8">
    <w:pPr>
      <w:pStyle w:val="Footer"/>
      <w:rPr>
        <w:iC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3A375" w14:textId="77777777" w:rsidR="00EF075F" w:rsidRDefault="00EF075F" w:rsidP="00185154">
      <w:r>
        <w:separator/>
      </w:r>
    </w:p>
    <w:p w14:paraId="1B428291" w14:textId="77777777" w:rsidR="00EF075F" w:rsidRDefault="00EF075F"/>
  </w:footnote>
  <w:footnote w:type="continuationSeparator" w:id="0">
    <w:p w14:paraId="155F2C35" w14:textId="77777777" w:rsidR="00EF075F" w:rsidRDefault="00EF075F" w:rsidP="00185154">
      <w:r>
        <w:continuationSeparator/>
      </w:r>
    </w:p>
    <w:p w14:paraId="7F2FBCAD" w14:textId="77777777" w:rsidR="00EF075F" w:rsidRDefault="00EF075F"/>
  </w:footnote>
  <w:footnote w:id="1">
    <w:p w14:paraId="6F456A1A" w14:textId="77777777" w:rsidR="00DC1BCD" w:rsidRDefault="00DC1BCD" w:rsidP="008B10F9">
      <w:pPr>
        <w:pStyle w:val="FootnoteText"/>
      </w:pPr>
      <w:r>
        <w:rPr>
          <w:rStyle w:val="FootnoteReference"/>
        </w:rPr>
        <w:footnoteRef/>
      </w:r>
      <w:r w:rsidRPr="009B5120">
        <w:t xml:space="preserve"> Bourne, R, Flaxman, S, Braithwaite, T et al. </w:t>
      </w:r>
      <w:r w:rsidRPr="00DF7D13">
        <w:t>Magnitude, Temporal Trends, and Projections of the Global Prevalence of Blindness and Distance and Near Vision Impairment: A Systematic Review and Meta-Analysis, The Lancet Global Health 2017, 5(9): 888-897.</w:t>
      </w:r>
    </w:p>
  </w:footnote>
  <w:footnote w:id="2">
    <w:p w14:paraId="55045E48" w14:textId="77777777" w:rsidR="00DC1BCD" w:rsidRDefault="00DC1BCD" w:rsidP="005346C3">
      <w:pPr>
        <w:pStyle w:val="FootnoteText"/>
      </w:pPr>
      <w:r>
        <w:rPr>
          <w:rStyle w:val="FootnoteReference"/>
        </w:rPr>
        <w:footnoteRef/>
      </w:r>
      <w:r>
        <w:t xml:space="preserve"> </w:t>
      </w:r>
      <w:r w:rsidRPr="00DF7D13">
        <w:t>Access Economics, 2010, Clear Focus: The Economic Impact of Vision Loss in Australia in 2009: A Report prepared for Vision 2020 Australia, Melbourne</w:t>
      </w:r>
    </w:p>
  </w:footnote>
  <w:footnote w:id="3">
    <w:p w14:paraId="23A1CD4B" w14:textId="77777777" w:rsidR="00DC1BCD" w:rsidRDefault="00DC1BCD">
      <w:pPr>
        <w:pStyle w:val="FootnoteText"/>
      </w:pPr>
      <w:r>
        <w:rPr>
          <w:rStyle w:val="FootnoteReference"/>
        </w:rPr>
        <w:footnoteRef/>
      </w:r>
      <w:r>
        <w:t xml:space="preserve"> </w:t>
      </w:r>
      <w:r w:rsidRPr="00AA5D9C">
        <w:t>The George Institute (2017), “Low Vision, Quality of Life and Independence: A Review of the Evidence on Aids and Technologies”, Macular Disease Foundation Australia, Australia</w:t>
      </w:r>
    </w:p>
  </w:footnote>
  <w:footnote w:id="4">
    <w:p w14:paraId="114D879F" w14:textId="77777777" w:rsidR="00DF0F02" w:rsidRDefault="00DF0F02">
      <w:pPr>
        <w:pStyle w:val="FootnoteText"/>
      </w:pPr>
      <w:r>
        <w:rPr>
          <w:rStyle w:val="FootnoteReference"/>
        </w:rPr>
        <w:footnoteRef/>
      </w:r>
      <w:r>
        <w:t xml:space="preserve"> Including treatment of diabetic eye disease and other common eye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62D80" w14:textId="77777777" w:rsidR="00DC1BCD" w:rsidRDefault="00DC1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18482A"/>
    <w:multiLevelType w:val="hybridMultilevel"/>
    <w:tmpl w:val="73FC1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8C46CB1"/>
    <w:multiLevelType w:val="hybridMultilevel"/>
    <w:tmpl w:val="42E47C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F326A25"/>
    <w:multiLevelType w:val="hybridMultilevel"/>
    <w:tmpl w:val="BD9EEDE8"/>
    <w:lvl w:ilvl="0" w:tplc="FE165B26">
      <w:numFmt w:val="bullet"/>
      <w:lvlText w:val=""/>
      <w:lvlJc w:val="left"/>
      <w:pPr>
        <w:ind w:left="1080" w:hanging="72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2771B8"/>
    <w:multiLevelType w:val="hybridMultilevel"/>
    <w:tmpl w:val="D4CC1A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15:restartNumberingAfterBreak="0">
    <w:nsid w:val="34B07C7F"/>
    <w:multiLevelType w:val="hybridMultilevel"/>
    <w:tmpl w:val="DC181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1" w15:restartNumberingAfterBreak="0">
    <w:nsid w:val="395A779D"/>
    <w:multiLevelType w:val="hybridMultilevel"/>
    <w:tmpl w:val="65501FD4"/>
    <w:lvl w:ilvl="0" w:tplc="4DE0D9F2">
      <w:start w:val="1"/>
      <w:numFmt w:val="decimal"/>
      <w:lvlText w:val="%1."/>
      <w:lvlJc w:val="left"/>
      <w:pPr>
        <w:ind w:left="720" w:hanging="360"/>
      </w:pPr>
      <w:rPr>
        <w:rFonts w:asciiTheme="minorHAnsi" w:eastAsiaTheme="minorHAnsi" w:hAnsiTheme="minorHAnsi" w:cstheme="minorBid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145A47"/>
    <w:multiLevelType w:val="hybridMultilevel"/>
    <w:tmpl w:val="326A576E"/>
    <w:lvl w:ilvl="0" w:tplc="FE165B26">
      <w:numFmt w:val="bullet"/>
      <w:lvlText w:val=""/>
      <w:lvlJc w:val="left"/>
      <w:pPr>
        <w:ind w:left="1080" w:hanging="72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9F16A3D"/>
    <w:multiLevelType w:val="hybridMultilevel"/>
    <w:tmpl w:val="DB26ED4C"/>
    <w:lvl w:ilvl="0" w:tplc="FE165B26">
      <w:numFmt w:val="bullet"/>
      <w:lvlText w:val=""/>
      <w:lvlJc w:val="left"/>
      <w:pPr>
        <w:ind w:left="1080" w:hanging="72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F6649A1"/>
    <w:multiLevelType w:val="hybridMultilevel"/>
    <w:tmpl w:val="D12AEDEA"/>
    <w:lvl w:ilvl="0" w:tplc="FE165B26">
      <w:numFmt w:val="bullet"/>
      <w:lvlText w:val=""/>
      <w:lvlJc w:val="left"/>
      <w:pPr>
        <w:ind w:left="1080" w:hanging="72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5F1871"/>
    <w:multiLevelType w:val="multilevel"/>
    <w:tmpl w:val="9D625AA6"/>
    <w:numStyleLink w:val="ListNumberedHeadings"/>
  </w:abstractNum>
  <w:abstractNum w:abstractNumId="17" w15:restartNumberingAfterBreak="0">
    <w:nsid w:val="5DB0627A"/>
    <w:multiLevelType w:val="multilevel"/>
    <w:tmpl w:val="626C565E"/>
    <w:numStyleLink w:val="ListTableBullet"/>
  </w:abstractNum>
  <w:abstractNum w:abstractNumId="18" w15:restartNumberingAfterBreak="0">
    <w:nsid w:val="61792BC7"/>
    <w:multiLevelType w:val="multilevel"/>
    <w:tmpl w:val="BDFC207A"/>
    <w:numStyleLink w:val="ListTableNumber"/>
  </w:abstractNum>
  <w:abstractNum w:abstractNumId="19"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15:restartNumberingAfterBreak="0">
    <w:nsid w:val="6D354A0C"/>
    <w:multiLevelType w:val="hybridMultilevel"/>
    <w:tmpl w:val="13DC22A0"/>
    <w:lvl w:ilvl="0" w:tplc="FE165B26">
      <w:numFmt w:val="bullet"/>
      <w:lvlText w:val=""/>
      <w:lvlJc w:val="left"/>
      <w:pPr>
        <w:ind w:left="720" w:hanging="720"/>
      </w:pPr>
      <w:rPr>
        <w:rFonts w:ascii="Symbol" w:eastAsia="Times New Roman"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F4D2FCC"/>
    <w:multiLevelType w:val="hybridMultilevel"/>
    <w:tmpl w:val="CAA48FD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7139706E"/>
    <w:multiLevelType w:val="multilevel"/>
    <w:tmpl w:val="11C64328"/>
    <w:numStyleLink w:val="ListParagraph"/>
  </w:abstractNum>
  <w:abstractNum w:abstractNumId="23" w15:restartNumberingAfterBreak="0">
    <w:nsid w:val="79F750F7"/>
    <w:multiLevelType w:val="hybridMultilevel"/>
    <w:tmpl w:val="B6F6A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4"/>
  </w:num>
  <w:num w:numId="3">
    <w:abstractNumId w:val="8"/>
  </w:num>
  <w:num w:numId="4">
    <w:abstractNumId w:val="13"/>
  </w:num>
  <w:num w:numId="5">
    <w:abstractNumId w:val="0"/>
  </w:num>
  <w:num w:numId="6">
    <w:abstractNumId w:val="19"/>
  </w:num>
  <w:num w:numId="7">
    <w:abstractNumId w:val="22"/>
  </w:num>
  <w:num w:numId="8">
    <w:abstractNumId w:val="2"/>
  </w:num>
  <w:num w:numId="9">
    <w:abstractNumId w:val="8"/>
  </w:num>
  <w:num w:numId="10">
    <w:abstractNumId w:val="5"/>
  </w:num>
  <w:num w:numId="11">
    <w:abstractNumId w:val="18"/>
  </w:num>
  <w:num w:numId="12">
    <w:abstractNumId w:val="16"/>
    <w:lvlOverride w:ilvl="1">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Override>
  </w:num>
  <w:num w:numId="13">
    <w:abstractNumId w:val="10"/>
  </w:num>
  <w:num w:numId="14">
    <w:abstractNumId w:val="4"/>
  </w:num>
  <w:num w:numId="15">
    <w:abstractNumId w:val="17"/>
  </w:num>
  <w:num w:numId="16">
    <w:abstractNumId w:val="1"/>
  </w:num>
  <w:num w:numId="17">
    <w:abstractNumId w:val="20"/>
  </w:num>
  <w:num w:numId="18">
    <w:abstractNumId w:val="15"/>
  </w:num>
  <w:num w:numId="19">
    <w:abstractNumId w:val="14"/>
  </w:num>
  <w:num w:numId="20">
    <w:abstractNumId w:val="6"/>
  </w:num>
  <w:num w:numId="21">
    <w:abstractNumId w:val="12"/>
  </w:num>
  <w:num w:numId="22">
    <w:abstractNumId w:val="3"/>
  </w:num>
  <w:num w:numId="23">
    <w:abstractNumId w:val="9"/>
  </w:num>
  <w:num w:numId="24">
    <w:abstractNumId w:val="7"/>
  </w:num>
  <w:num w:numId="25">
    <w:abstractNumId w:val="21"/>
  </w:num>
  <w:num w:numId="26">
    <w:abstractNumId w:val="11"/>
  </w:num>
  <w:num w:numId="27">
    <w:abstractNumId w:val="23"/>
  </w:num>
  <w:num w:numId="28">
    <w:abstractNumId w:val="10"/>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fr-FR" w:vendorID="64" w:dllVersion="6" w:nlCheck="1" w:checkStyle="0"/>
  <w:activeWritingStyle w:appName="MSWord" w:lang="en-AU" w:vendorID="64" w:dllVersion="6" w:nlCheck="1" w:checkStyle="1"/>
  <w:activeWritingStyle w:appName="MSWord" w:lang="en-AU" w:vendorID="64" w:dllVersion="4096" w:nlCheck="1" w:checkStyle="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6100"/>
    <w:rsid w:val="00007607"/>
    <w:rsid w:val="000274AB"/>
    <w:rsid w:val="00035779"/>
    <w:rsid w:val="000358CA"/>
    <w:rsid w:val="00036DC1"/>
    <w:rsid w:val="000427B8"/>
    <w:rsid w:val="00044033"/>
    <w:rsid w:val="00057D8C"/>
    <w:rsid w:val="00065E72"/>
    <w:rsid w:val="00071C7D"/>
    <w:rsid w:val="00075FA8"/>
    <w:rsid w:val="00076F97"/>
    <w:rsid w:val="000771B8"/>
    <w:rsid w:val="000870BB"/>
    <w:rsid w:val="00087D93"/>
    <w:rsid w:val="000A457E"/>
    <w:rsid w:val="000B32F4"/>
    <w:rsid w:val="000B3EBE"/>
    <w:rsid w:val="000B6FA1"/>
    <w:rsid w:val="000C0C22"/>
    <w:rsid w:val="000C1D1E"/>
    <w:rsid w:val="000C5684"/>
    <w:rsid w:val="000C5AA9"/>
    <w:rsid w:val="000C6408"/>
    <w:rsid w:val="000D1BBC"/>
    <w:rsid w:val="000F319C"/>
    <w:rsid w:val="000F4A35"/>
    <w:rsid w:val="00101E1D"/>
    <w:rsid w:val="001063C6"/>
    <w:rsid w:val="0013218E"/>
    <w:rsid w:val="00140E8B"/>
    <w:rsid w:val="00145CCD"/>
    <w:rsid w:val="001474A2"/>
    <w:rsid w:val="001505D8"/>
    <w:rsid w:val="00154790"/>
    <w:rsid w:val="00156423"/>
    <w:rsid w:val="001600E5"/>
    <w:rsid w:val="00161138"/>
    <w:rsid w:val="00162854"/>
    <w:rsid w:val="00175B12"/>
    <w:rsid w:val="00181BA7"/>
    <w:rsid w:val="001829A7"/>
    <w:rsid w:val="00185154"/>
    <w:rsid w:val="00186E49"/>
    <w:rsid w:val="0019114D"/>
    <w:rsid w:val="001A0843"/>
    <w:rsid w:val="001A104D"/>
    <w:rsid w:val="001C00EC"/>
    <w:rsid w:val="001C05DC"/>
    <w:rsid w:val="001D1C25"/>
    <w:rsid w:val="001D695A"/>
    <w:rsid w:val="001F16CA"/>
    <w:rsid w:val="002078C1"/>
    <w:rsid w:val="002106C4"/>
    <w:rsid w:val="00210DEF"/>
    <w:rsid w:val="00222215"/>
    <w:rsid w:val="00224CCB"/>
    <w:rsid w:val="00227131"/>
    <w:rsid w:val="002447C1"/>
    <w:rsid w:val="0025119D"/>
    <w:rsid w:val="00252201"/>
    <w:rsid w:val="00254DD8"/>
    <w:rsid w:val="00270CE7"/>
    <w:rsid w:val="00271ECA"/>
    <w:rsid w:val="0029117E"/>
    <w:rsid w:val="002966E5"/>
    <w:rsid w:val="002A590E"/>
    <w:rsid w:val="002B1C4E"/>
    <w:rsid w:val="002B4003"/>
    <w:rsid w:val="002C5B1C"/>
    <w:rsid w:val="002D008C"/>
    <w:rsid w:val="002D0339"/>
    <w:rsid w:val="002D2A2C"/>
    <w:rsid w:val="002D4254"/>
    <w:rsid w:val="002D4E6E"/>
    <w:rsid w:val="002E62B5"/>
    <w:rsid w:val="002F2F7A"/>
    <w:rsid w:val="002F4862"/>
    <w:rsid w:val="00301893"/>
    <w:rsid w:val="00301CC3"/>
    <w:rsid w:val="00304890"/>
    <w:rsid w:val="00322A8A"/>
    <w:rsid w:val="00336ECE"/>
    <w:rsid w:val="003411DD"/>
    <w:rsid w:val="00354EF7"/>
    <w:rsid w:val="0037398C"/>
    <w:rsid w:val="0037618F"/>
    <w:rsid w:val="003853C1"/>
    <w:rsid w:val="003A04C1"/>
    <w:rsid w:val="003A08A5"/>
    <w:rsid w:val="003A67C1"/>
    <w:rsid w:val="003A754B"/>
    <w:rsid w:val="003B0945"/>
    <w:rsid w:val="003B097F"/>
    <w:rsid w:val="003B126F"/>
    <w:rsid w:val="003B442C"/>
    <w:rsid w:val="003B4DCF"/>
    <w:rsid w:val="003C20B8"/>
    <w:rsid w:val="003D3B71"/>
    <w:rsid w:val="003D56AF"/>
    <w:rsid w:val="003D71B3"/>
    <w:rsid w:val="003E1EF3"/>
    <w:rsid w:val="003E269E"/>
    <w:rsid w:val="003E2E43"/>
    <w:rsid w:val="003E440F"/>
    <w:rsid w:val="003E5319"/>
    <w:rsid w:val="003F5584"/>
    <w:rsid w:val="00404615"/>
    <w:rsid w:val="00407776"/>
    <w:rsid w:val="004254BC"/>
    <w:rsid w:val="00427353"/>
    <w:rsid w:val="00431E66"/>
    <w:rsid w:val="0043564D"/>
    <w:rsid w:val="0043628A"/>
    <w:rsid w:val="0044289A"/>
    <w:rsid w:val="00444AE6"/>
    <w:rsid w:val="004478FD"/>
    <w:rsid w:val="004517DE"/>
    <w:rsid w:val="00453B09"/>
    <w:rsid w:val="0046677B"/>
    <w:rsid w:val="004700B3"/>
    <w:rsid w:val="00483945"/>
    <w:rsid w:val="004846EB"/>
    <w:rsid w:val="00491C59"/>
    <w:rsid w:val="004A2F39"/>
    <w:rsid w:val="004B3B63"/>
    <w:rsid w:val="004B7DAE"/>
    <w:rsid w:val="004E79A4"/>
    <w:rsid w:val="004F1E63"/>
    <w:rsid w:val="004F2A3C"/>
    <w:rsid w:val="004F3D6F"/>
    <w:rsid w:val="004F5432"/>
    <w:rsid w:val="0051056D"/>
    <w:rsid w:val="005147D7"/>
    <w:rsid w:val="005331C9"/>
    <w:rsid w:val="005346C3"/>
    <w:rsid w:val="005362EE"/>
    <w:rsid w:val="00540372"/>
    <w:rsid w:val="0055219D"/>
    <w:rsid w:val="0055353F"/>
    <w:rsid w:val="0056633F"/>
    <w:rsid w:val="005713E5"/>
    <w:rsid w:val="00573556"/>
    <w:rsid w:val="00595FFE"/>
    <w:rsid w:val="005A435A"/>
    <w:rsid w:val="005A72A8"/>
    <w:rsid w:val="005B0C40"/>
    <w:rsid w:val="005C2310"/>
    <w:rsid w:val="005D15BB"/>
    <w:rsid w:val="005D19B3"/>
    <w:rsid w:val="005D620B"/>
    <w:rsid w:val="005E259B"/>
    <w:rsid w:val="005F1022"/>
    <w:rsid w:val="006025ED"/>
    <w:rsid w:val="0060488B"/>
    <w:rsid w:val="0061078A"/>
    <w:rsid w:val="0061089F"/>
    <w:rsid w:val="00617B29"/>
    <w:rsid w:val="006262B0"/>
    <w:rsid w:val="00630061"/>
    <w:rsid w:val="00633235"/>
    <w:rsid w:val="006366A1"/>
    <w:rsid w:val="0065325A"/>
    <w:rsid w:val="006721B8"/>
    <w:rsid w:val="00674316"/>
    <w:rsid w:val="006759F6"/>
    <w:rsid w:val="006775E4"/>
    <w:rsid w:val="00684E74"/>
    <w:rsid w:val="00697C48"/>
    <w:rsid w:val="006A1801"/>
    <w:rsid w:val="006A78D3"/>
    <w:rsid w:val="006C3975"/>
    <w:rsid w:val="006C457A"/>
    <w:rsid w:val="006D22C5"/>
    <w:rsid w:val="006D53B0"/>
    <w:rsid w:val="006E1ED5"/>
    <w:rsid w:val="00701F42"/>
    <w:rsid w:val="00702753"/>
    <w:rsid w:val="00706376"/>
    <w:rsid w:val="00727D91"/>
    <w:rsid w:val="00732FCD"/>
    <w:rsid w:val="007371B3"/>
    <w:rsid w:val="0074017F"/>
    <w:rsid w:val="00752184"/>
    <w:rsid w:val="00755BD0"/>
    <w:rsid w:val="00757A95"/>
    <w:rsid w:val="00762625"/>
    <w:rsid w:val="0076681B"/>
    <w:rsid w:val="00770BF1"/>
    <w:rsid w:val="00774E81"/>
    <w:rsid w:val="00775CD0"/>
    <w:rsid w:val="007760BC"/>
    <w:rsid w:val="0077688C"/>
    <w:rsid w:val="007803AD"/>
    <w:rsid w:val="0078781A"/>
    <w:rsid w:val="007A3DE6"/>
    <w:rsid w:val="007A5346"/>
    <w:rsid w:val="007B1A96"/>
    <w:rsid w:val="007B1B14"/>
    <w:rsid w:val="007B1E80"/>
    <w:rsid w:val="007C00E3"/>
    <w:rsid w:val="007C57F5"/>
    <w:rsid w:val="007C69D6"/>
    <w:rsid w:val="007D3B9A"/>
    <w:rsid w:val="007F3BDD"/>
    <w:rsid w:val="00813B02"/>
    <w:rsid w:val="00817D6F"/>
    <w:rsid w:val="00822503"/>
    <w:rsid w:val="00842156"/>
    <w:rsid w:val="008436A9"/>
    <w:rsid w:val="00845732"/>
    <w:rsid w:val="00852405"/>
    <w:rsid w:val="008539CC"/>
    <w:rsid w:val="008572D9"/>
    <w:rsid w:val="00861E13"/>
    <w:rsid w:val="00870677"/>
    <w:rsid w:val="00875F0D"/>
    <w:rsid w:val="00883392"/>
    <w:rsid w:val="00892496"/>
    <w:rsid w:val="008A3DAF"/>
    <w:rsid w:val="008A4DE8"/>
    <w:rsid w:val="008A6F22"/>
    <w:rsid w:val="008B0A35"/>
    <w:rsid w:val="008B10F9"/>
    <w:rsid w:val="008B17B1"/>
    <w:rsid w:val="008B5D8F"/>
    <w:rsid w:val="008D0363"/>
    <w:rsid w:val="008D0497"/>
    <w:rsid w:val="008E6057"/>
    <w:rsid w:val="008F4BAD"/>
    <w:rsid w:val="008F4E0B"/>
    <w:rsid w:val="0090000E"/>
    <w:rsid w:val="00907866"/>
    <w:rsid w:val="00924249"/>
    <w:rsid w:val="009253D1"/>
    <w:rsid w:val="0092776C"/>
    <w:rsid w:val="009453E1"/>
    <w:rsid w:val="0095655B"/>
    <w:rsid w:val="009571D7"/>
    <w:rsid w:val="00964091"/>
    <w:rsid w:val="00964287"/>
    <w:rsid w:val="00975082"/>
    <w:rsid w:val="009A199C"/>
    <w:rsid w:val="009A1E0A"/>
    <w:rsid w:val="009B5120"/>
    <w:rsid w:val="009C0F73"/>
    <w:rsid w:val="009C5027"/>
    <w:rsid w:val="009D40C7"/>
    <w:rsid w:val="009E20C7"/>
    <w:rsid w:val="009E2E70"/>
    <w:rsid w:val="009E3BCF"/>
    <w:rsid w:val="009F6CE7"/>
    <w:rsid w:val="00A07960"/>
    <w:rsid w:val="00A101B8"/>
    <w:rsid w:val="00A33C86"/>
    <w:rsid w:val="00A37DBD"/>
    <w:rsid w:val="00A41250"/>
    <w:rsid w:val="00A41D4E"/>
    <w:rsid w:val="00A52A8F"/>
    <w:rsid w:val="00A63844"/>
    <w:rsid w:val="00A640FF"/>
    <w:rsid w:val="00A83B38"/>
    <w:rsid w:val="00A8609F"/>
    <w:rsid w:val="00A9139E"/>
    <w:rsid w:val="00A9457A"/>
    <w:rsid w:val="00AA5D9C"/>
    <w:rsid w:val="00AA6010"/>
    <w:rsid w:val="00AA7024"/>
    <w:rsid w:val="00AD6EC2"/>
    <w:rsid w:val="00AE4C26"/>
    <w:rsid w:val="00AF096C"/>
    <w:rsid w:val="00AF2204"/>
    <w:rsid w:val="00B012F3"/>
    <w:rsid w:val="00B1273F"/>
    <w:rsid w:val="00B172FD"/>
    <w:rsid w:val="00B2193F"/>
    <w:rsid w:val="00B40C79"/>
    <w:rsid w:val="00B53493"/>
    <w:rsid w:val="00B55D18"/>
    <w:rsid w:val="00B56CC8"/>
    <w:rsid w:val="00B61F49"/>
    <w:rsid w:val="00B65281"/>
    <w:rsid w:val="00B668FB"/>
    <w:rsid w:val="00B76B8E"/>
    <w:rsid w:val="00B8347A"/>
    <w:rsid w:val="00BA30CE"/>
    <w:rsid w:val="00BA45AE"/>
    <w:rsid w:val="00BA4F4A"/>
    <w:rsid w:val="00BA66AD"/>
    <w:rsid w:val="00BB49AA"/>
    <w:rsid w:val="00BB5E26"/>
    <w:rsid w:val="00BB6906"/>
    <w:rsid w:val="00BC1F83"/>
    <w:rsid w:val="00BC2DD3"/>
    <w:rsid w:val="00BC54E0"/>
    <w:rsid w:val="00BC67B1"/>
    <w:rsid w:val="00BD7CF3"/>
    <w:rsid w:val="00BE04F1"/>
    <w:rsid w:val="00BE16D4"/>
    <w:rsid w:val="00BE7855"/>
    <w:rsid w:val="00BF15C1"/>
    <w:rsid w:val="00BF2C53"/>
    <w:rsid w:val="00BF5ACD"/>
    <w:rsid w:val="00C000C3"/>
    <w:rsid w:val="00C02E60"/>
    <w:rsid w:val="00C10095"/>
    <w:rsid w:val="00C240FD"/>
    <w:rsid w:val="00C24374"/>
    <w:rsid w:val="00C302EF"/>
    <w:rsid w:val="00C6235F"/>
    <w:rsid w:val="00C748BE"/>
    <w:rsid w:val="00C74C53"/>
    <w:rsid w:val="00C945E3"/>
    <w:rsid w:val="00C958F1"/>
    <w:rsid w:val="00C97431"/>
    <w:rsid w:val="00CA10B0"/>
    <w:rsid w:val="00CB6FF1"/>
    <w:rsid w:val="00CD7CBE"/>
    <w:rsid w:val="00CE73B8"/>
    <w:rsid w:val="00CF575D"/>
    <w:rsid w:val="00CF5E97"/>
    <w:rsid w:val="00D075E5"/>
    <w:rsid w:val="00D241D3"/>
    <w:rsid w:val="00D24EC3"/>
    <w:rsid w:val="00D253E1"/>
    <w:rsid w:val="00D279C9"/>
    <w:rsid w:val="00D27FA8"/>
    <w:rsid w:val="00D365D3"/>
    <w:rsid w:val="00D374E7"/>
    <w:rsid w:val="00D42F7B"/>
    <w:rsid w:val="00D44172"/>
    <w:rsid w:val="00D55089"/>
    <w:rsid w:val="00D55DB6"/>
    <w:rsid w:val="00D56EEE"/>
    <w:rsid w:val="00D614D5"/>
    <w:rsid w:val="00D65684"/>
    <w:rsid w:val="00D65E0E"/>
    <w:rsid w:val="00D75051"/>
    <w:rsid w:val="00DA1B56"/>
    <w:rsid w:val="00DA2552"/>
    <w:rsid w:val="00DA76FA"/>
    <w:rsid w:val="00DB1FB1"/>
    <w:rsid w:val="00DB2B49"/>
    <w:rsid w:val="00DC1BCD"/>
    <w:rsid w:val="00DC28FE"/>
    <w:rsid w:val="00DC290C"/>
    <w:rsid w:val="00DC33B4"/>
    <w:rsid w:val="00DC5F84"/>
    <w:rsid w:val="00DD4656"/>
    <w:rsid w:val="00DF01DF"/>
    <w:rsid w:val="00DF0F02"/>
    <w:rsid w:val="00DF7D13"/>
    <w:rsid w:val="00E018FB"/>
    <w:rsid w:val="00E135C8"/>
    <w:rsid w:val="00E17257"/>
    <w:rsid w:val="00E21DC0"/>
    <w:rsid w:val="00E27FD9"/>
    <w:rsid w:val="00E30B9D"/>
    <w:rsid w:val="00E323B3"/>
    <w:rsid w:val="00E4248F"/>
    <w:rsid w:val="00E47228"/>
    <w:rsid w:val="00E50F1E"/>
    <w:rsid w:val="00E62EA0"/>
    <w:rsid w:val="00E6763B"/>
    <w:rsid w:val="00E8358B"/>
    <w:rsid w:val="00E85F87"/>
    <w:rsid w:val="00E866F3"/>
    <w:rsid w:val="00E873F9"/>
    <w:rsid w:val="00EA1214"/>
    <w:rsid w:val="00EB58BD"/>
    <w:rsid w:val="00EB6D30"/>
    <w:rsid w:val="00EC0FFC"/>
    <w:rsid w:val="00EC3CE8"/>
    <w:rsid w:val="00ED2E33"/>
    <w:rsid w:val="00ED3024"/>
    <w:rsid w:val="00ED3E03"/>
    <w:rsid w:val="00ED71B6"/>
    <w:rsid w:val="00EE5474"/>
    <w:rsid w:val="00EF075F"/>
    <w:rsid w:val="00EF0E10"/>
    <w:rsid w:val="00EF2076"/>
    <w:rsid w:val="00EF2AFB"/>
    <w:rsid w:val="00EF41A2"/>
    <w:rsid w:val="00F04A8E"/>
    <w:rsid w:val="00F33D5C"/>
    <w:rsid w:val="00F431FB"/>
    <w:rsid w:val="00F46A4B"/>
    <w:rsid w:val="00F5010F"/>
    <w:rsid w:val="00F53ACB"/>
    <w:rsid w:val="00F60E46"/>
    <w:rsid w:val="00F6184E"/>
    <w:rsid w:val="00F7234E"/>
    <w:rsid w:val="00F8007E"/>
    <w:rsid w:val="00F81C8A"/>
    <w:rsid w:val="00F82594"/>
    <w:rsid w:val="00F84805"/>
    <w:rsid w:val="00F85E41"/>
    <w:rsid w:val="00F978A9"/>
    <w:rsid w:val="00FA2176"/>
    <w:rsid w:val="00FA2B02"/>
    <w:rsid w:val="00FA3A09"/>
    <w:rsid w:val="00FB08C2"/>
    <w:rsid w:val="00FB1115"/>
    <w:rsid w:val="00FB4AE4"/>
    <w:rsid w:val="00FC27D4"/>
    <w:rsid w:val="00FD5739"/>
    <w:rsid w:val="00FE4963"/>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1AB4D51F"/>
  <w15:docId w15:val="{28D07B74-3157-47F4-B3F5-FEFECF36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3E440F"/>
    <w:pPr>
      <w:keepNext/>
      <w:keepLines/>
      <w:spacing w:before="4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E62EA0"/>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30B9D"/>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E30B9D"/>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3E440F"/>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E62EA0"/>
    <w:rPr>
      <w:rFonts w:asciiTheme="majorHAnsi" w:eastAsia="Times New Roman" w:hAnsiTheme="majorHAnsi" w:cs="Times New Roman"/>
      <w:b/>
      <w:bCs/>
      <w:color w:val="004B8D" w:themeColor="accent1"/>
      <w:sz w:val="24"/>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2"/>
      </w:numPr>
    </w:pPr>
    <w:rPr>
      <w:bCs w:val="0"/>
    </w:rPr>
  </w:style>
  <w:style w:type="paragraph" w:customStyle="1" w:styleId="NbrHeading2">
    <w:name w:val="Nbr Heading 2"/>
    <w:basedOn w:val="Heading2"/>
    <w:next w:val="BodyText"/>
    <w:qFormat/>
    <w:rsid w:val="003A08A5"/>
    <w:pPr>
      <w:numPr>
        <w:ilvl w:val="1"/>
        <w:numId w:val="12"/>
      </w:numPr>
    </w:pPr>
  </w:style>
  <w:style w:type="paragraph" w:customStyle="1" w:styleId="NbrHeading3">
    <w:name w:val="Nbr Heading 3"/>
    <w:basedOn w:val="Heading3"/>
    <w:next w:val="BodyText"/>
    <w:qFormat/>
    <w:rsid w:val="00822503"/>
    <w:pPr>
      <w:numPr>
        <w:ilvl w:val="2"/>
        <w:numId w:val="12"/>
      </w:numPr>
    </w:pPr>
  </w:style>
  <w:style w:type="paragraph" w:customStyle="1" w:styleId="NbrHeading4">
    <w:name w:val="Nbr Heading 4"/>
    <w:basedOn w:val="Heading4"/>
    <w:next w:val="BodyText"/>
    <w:semiHidden/>
    <w:qFormat/>
    <w:rsid w:val="003A08A5"/>
    <w:pPr>
      <w:numPr>
        <w:ilvl w:val="3"/>
        <w:numId w:val="12"/>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3"/>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2"/>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8"/>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0"/>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3"/>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4"/>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DF7D13"/>
    <w:rPr>
      <w:sz w:val="20"/>
      <w:szCs w:val="20"/>
    </w:rPr>
  </w:style>
  <w:style w:type="character" w:customStyle="1" w:styleId="FootnoteTextChar">
    <w:name w:val="Footnote Text Char"/>
    <w:basedOn w:val="DefaultParagraphFont"/>
    <w:link w:val="FootnoteText"/>
    <w:uiPriority w:val="99"/>
    <w:semiHidden/>
    <w:rsid w:val="00DF7D13"/>
    <w:rPr>
      <w:sz w:val="20"/>
      <w:szCs w:val="20"/>
    </w:rPr>
  </w:style>
  <w:style w:type="character" w:styleId="FootnoteReference">
    <w:name w:val="footnote reference"/>
    <w:basedOn w:val="DefaultParagraphFont"/>
    <w:uiPriority w:val="99"/>
    <w:semiHidden/>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semiHidden/>
    <w:unhideWhenUsed/>
    <w:rsid w:val="00BC1F83"/>
    <w:rPr>
      <w:sz w:val="20"/>
      <w:szCs w:val="20"/>
    </w:rPr>
  </w:style>
  <w:style w:type="character" w:customStyle="1" w:styleId="CommentTextChar">
    <w:name w:val="Comment Text Char"/>
    <w:basedOn w:val="DefaultParagraphFont"/>
    <w:link w:val="CommentText"/>
    <w:uiPriority w:val="99"/>
    <w:semiHidden/>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tockley\AppData\Roaming\Microsoft\Word\STARTUP\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
      <w:docPartPr>
        <w:name w:val="A2F3F6CEF7D34884838E1E14137B098D"/>
        <w:category>
          <w:name w:val="General"/>
          <w:gallery w:val="placeholder"/>
        </w:category>
        <w:types>
          <w:type w:val="bbPlcHdr"/>
        </w:types>
        <w:behaviors>
          <w:behavior w:val="content"/>
        </w:behaviors>
        <w:guid w:val="{3126AF7F-50FF-4314-A949-1B1FC07DC3EB}"/>
      </w:docPartPr>
      <w:docPartBody>
        <w:p w:rsidR="00D17CAD" w:rsidRDefault="00D17CAD">
          <w:pPr>
            <w:pStyle w:val="A2F3F6CEF7D34884838E1E14137B098D"/>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D3BD5"/>
    <w:rsid w:val="000F59FD"/>
    <w:rsid w:val="0012504E"/>
    <w:rsid w:val="0040542F"/>
    <w:rsid w:val="004501F0"/>
    <w:rsid w:val="00464327"/>
    <w:rsid w:val="004B0769"/>
    <w:rsid w:val="00545177"/>
    <w:rsid w:val="00575AAC"/>
    <w:rsid w:val="00786E86"/>
    <w:rsid w:val="0079028A"/>
    <w:rsid w:val="00D17CAD"/>
    <w:rsid w:val="00EB2E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 w:type="paragraph" w:customStyle="1" w:styleId="EE78F2B7C3BB44BCA93BB93BF62A2A82">
    <w:name w:val="EE78F2B7C3BB44BCA93BB93BF62A2A82"/>
  </w:style>
  <w:style w:type="paragraph" w:customStyle="1" w:styleId="FBD6AD7491E845C9BC72F27258524652">
    <w:name w:val="FBD6AD7491E845C9BC72F27258524652"/>
  </w:style>
  <w:style w:type="paragraph" w:customStyle="1" w:styleId="A2F3F6CEF7D34884838E1E14137B098D">
    <w:name w:val="A2F3F6CEF7D34884838E1E14137B098D"/>
  </w:style>
  <w:style w:type="paragraph" w:customStyle="1" w:styleId="9D1C032912104858B6E4F65F4386B5A3">
    <w:name w:val="9D1C032912104858B6E4F65F4386B5A3"/>
  </w:style>
  <w:style w:type="paragraph" w:customStyle="1" w:styleId="3A172987AC4E4A1BB2B73E6003F0698D">
    <w:name w:val="3A172987AC4E4A1BB2B73E6003F0698D"/>
    <w:rsid w:val="00D17CAD"/>
  </w:style>
  <w:style w:type="paragraph" w:customStyle="1" w:styleId="FCF0FD169513428B94350D5035243A78">
    <w:name w:val="FCF0FD169513428B94350D5035243A78"/>
    <w:rsid w:val="00545177"/>
  </w:style>
  <w:style w:type="paragraph" w:customStyle="1" w:styleId="7BC5317023524D518D0402EDC4809CD9">
    <w:name w:val="7BC5317023524D518D0402EDC4809CD9"/>
    <w:rsid w:val="005451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93D55-20F1-4101-A598-53D9228AA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Vision2020 Ribbon</Template>
  <TotalTime>0</TotalTime>
  <Pages>14</Pages>
  <Words>4071</Words>
  <Characters>23208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2020-21 Pre-Budget Submission</vt:lpstr>
    </vt:vector>
  </TitlesOfParts>
  <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2020-21 Pre-Budget Submission</dc:title>
  <dc:subject>DRAFT</dc:subject>
  <dc:creator>Ché Stockley</dc:creator>
  <cp:lastModifiedBy>Judith Abbott</cp:lastModifiedBy>
  <cp:revision>2</cp:revision>
  <cp:lastPrinted>2019-12-20T02:21:00Z</cp:lastPrinted>
  <dcterms:created xsi:type="dcterms:W3CDTF">2019-12-20T02:21:00Z</dcterms:created>
  <dcterms:modified xsi:type="dcterms:W3CDTF">2019-12-20T02:21:00Z</dcterms:modified>
</cp:coreProperties>
</file>