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D31BB" w14:textId="77777777" w:rsidR="00CB2E84" w:rsidRPr="00CB2E84" w:rsidRDefault="00DF41E0" w:rsidP="00CB2E84">
      <w:pPr>
        <w:pStyle w:val="Title"/>
      </w:pPr>
      <w:r>
        <w:t>Aboriginal and Torres Strait Islander</w:t>
      </w:r>
      <w:r w:rsidR="00487046">
        <w:t xml:space="preserve"> Committee</w:t>
      </w:r>
    </w:p>
    <w:p w14:paraId="69598AD4" w14:textId="77777777" w:rsidR="00DF41E0" w:rsidRDefault="00A60422" w:rsidP="00BC6BB8">
      <w:pPr>
        <w:pStyle w:val="Heading1"/>
        <w:rPr>
          <w:sz w:val="26"/>
          <w:szCs w:val="26"/>
        </w:rPr>
      </w:pPr>
      <w:r>
        <w:rPr>
          <w:sz w:val="26"/>
          <w:szCs w:val="26"/>
        </w:rPr>
        <w:t>Background</w:t>
      </w:r>
    </w:p>
    <w:p w14:paraId="2B2FD430" w14:textId="77777777" w:rsidR="0047617A" w:rsidRDefault="0047617A" w:rsidP="007D4ABC">
      <w:pPr>
        <w:pStyle w:val="BodyText"/>
      </w:pPr>
      <w:r>
        <w:t xml:space="preserve">On 30 October 2020, the Productivity Commission released a proposed </w:t>
      </w:r>
      <w:hyperlink r:id="rId9" w:history="1">
        <w:r w:rsidRPr="007E1A5E">
          <w:rPr>
            <w:rStyle w:val="Hyperlink"/>
          </w:rPr>
          <w:t>Indigenous Evaluation Strategy</w:t>
        </w:r>
      </w:hyperlink>
      <w:r w:rsidR="007E1A5E">
        <w:t>.</w:t>
      </w:r>
      <w:r>
        <w:t xml:space="preserve"> The Strategy, which has been delivered to the Government, sets out a new approach to evaluating Australian Government policies and programs.</w:t>
      </w:r>
    </w:p>
    <w:p w14:paraId="64EC01DD" w14:textId="77777777" w:rsidR="0047617A" w:rsidRDefault="00A60422" w:rsidP="007D4ABC">
      <w:pPr>
        <w:pStyle w:val="BodyText"/>
      </w:pPr>
      <w:r>
        <w:t>Prior to the release of the Strategy,</w:t>
      </w:r>
      <w:r w:rsidR="007E1A5E">
        <w:t xml:space="preserve"> </w:t>
      </w:r>
      <w:r w:rsidR="0047617A">
        <w:t xml:space="preserve">Vision 2020 Australia submitted a </w:t>
      </w:r>
      <w:hyperlink r:id="rId10" w:history="1">
        <w:r w:rsidR="0047617A" w:rsidRPr="007E1A5E">
          <w:rPr>
            <w:rStyle w:val="Hyperlink"/>
          </w:rPr>
          <w:t>response</w:t>
        </w:r>
      </w:hyperlink>
      <w:r w:rsidR="0047617A">
        <w:t xml:space="preserve"> to the Draft </w:t>
      </w:r>
      <w:r w:rsidR="0037041C">
        <w:t xml:space="preserve">Indigenous Evaluation </w:t>
      </w:r>
      <w:r w:rsidR="0047617A">
        <w:t>Strategy on 3 August 2020</w:t>
      </w:r>
      <w:r w:rsidR="007E1A5E">
        <w:t xml:space="preserve"> (with consultation and input from members of the Aboriginal and Torres Strait Islander Committee and SESC Implementation Working Group)</w:t>
      </w:r>
      <w:r w:rsidR="0047617A">
        <w:t>.</w:t>
      </w:r>
      <w:r w:rsidR="007E1A5E">
        <w:t xml:space="preserve"> </w:t>
      </w:r>
    </w:p>
    <w:p w14:paraId="4D105F9D" w14:textId="43F8CFC3" w:rsidR="0047617A" w:rsidRPr="007D4ABC" w:rsidRDefault="0047617A" w:rsidP="007D4ABC">
      <w:pPr>
        <w:pStyle w:val="BodyText"/>
      </w:pPr>
      <w:r>
        <w:t>The table below summarise</w:t>
      </w:r>
      <w:r w:rsidR="001B544D">
        <w:t>s</w:t>
      </w:r>
      <w:r>
        <w:t xml:space="preserve"> key points from the Vision 2020 Australia submission, and the </w:t>
      </w:r>
      <w:r w:rsidR="00A60422">
        <w:t>response from the Productivity Commission, as reflected in the</w:t>
      </w:r>
      <w:r w:rsidR="0037041C">
        <w:t xml:space="preserve"> </w:t>
      </w:r>
      <w:r w:rsidR="00A60422">
        <w:t>released Indigenous Evaluation Strategy.</w:t>
      </w:r>
    </w:p>
    <w:tbl>
      <w:tblPr>
        <w:tblStyle w:val="V2020Table"/>
        <w:tblW w:w="5000" w:type="pct"/>
        <w:tblLook w:val="0620" w:firstRow="1" w:lastRow="0" w:firstColumn="0" w:lastColumn="0" w:noHBand="1" w:noVBand="1"/>
      </w:tblPr>
      <w:tblGrid>
        <w:gridCol w:w="4531"/>
        <w:gridCol w:w="5097"/>
      </w:tblGrid>
      <w:tr w:rsidR="00DA7C7B" w14:paraId="111BC19E" w14:textId="77777777" w:rsidTr="00677803">
        <w:trPr>
          <w:cnfStyle w:val="100000000000" w:firstRow="1" w:lastRow="0" w:firstColumn="0" w:lastColumn="0" w:oddVBand="0" w:evenVBand="0" w:oddHBand="0" w:evenHBand="0" w:firstRowFirstColumn="0" w:firstRowLastColumn="0" w:lastRowFirstColumn="0" w:lastRowLastColumn="0"/>
        </w:trPr>
        <w:tc>
          <w:tcPr>
            <w:tcW w:w="4531" w:type="dxa"/>
          </w:tcPr>
          <w:p w14:paraId="7E364462" w14:textId="479C5C75" w:rsidR="003B7E90" w:rsidRPr="003B7E90" w:rsidRDefault="00DA7C7B" w:rsidP="00CA2945">
            <w:pPr>
              <w:pStyle w:val="TableHeading"/>
            </w:pPr>
            <w:r>
              <w:t>V2020A Recommendation</w:t>
            </w:r>
            <w:r w:rsidR="0077544D">
              <w:t>s</w:t>
            </w:r>
            <w:r>
              <w:t xml:space="preserve"> </w:t>
            </w:r>
          </w:p>
          <w:p w14:paraId="2F45B7E9" w14:textId="1E5000AA" w:rsidR="00DA7C7B" w:rsidRPr="003B7E90" w:rsidRDefault="00DA7C7B" w:rsidP="003B7E90"/>
        </w:tc>
        <w:tc>
          <w:tcPr>
            <w:tcW w:w="5097" w:type="dxa"/>
          </w:tcPr>
          <w:p w14:paraId="57E1EBB1" w14:textId="0ADE05BE" w:rsidR="00DA7C7B" w:rsidRDefault="00D0365E" w:rsidP="00E5580F">
            <w:pPr>
              <w:pStyle w:val="TableHeading"/>
            </w:pPr>
            <w:r>
              <w:t xml:space="preserve">Released </w:t>
            </w:r>
            <w:r w:rsidR="00DA7C7B">
              <w:t>Indigenous Evaluation Strategy</w:t>
            </w:r>
          </w:p>
        </w:tc>
      </w:tr>
      <w:tr w:rsidR="00DA7C7B" w:rsidRPr="002106C4" w14:paraId="780EC5D4" w14:textId="77777777" w:rsidTr="00677803">
        <w:tc>
          <w:tcPr>
            <w:tcW w:w="4531" w:type="dxa"/>
          </w:tcPr>
          <w:p w14:paraId="70DF757B" w14:textId="77777777" w:rsidR="00DA7C7B" w:rsidRPr="00DA7C7B" w:rsidRDefault="00DA7C7B" w:rsidP="00DA7C7B">
            <w:pPr>
              <w:pStyle w:val="BodyText"/>
              <w:rPr>
                <w:b/>
                <w:sz w:val="20"/>
                <w:szCs w:val="20"/>
              </w:rPr>
            </w:pPr>
            <w:r w:rsidRPr="00DA7C7B">
              <w:rPr>
                <w:b/>
                <w:sz w:val="20"/>
                <w:szCs w:val="20"/>
              </w:rPr>
              <w:t xml:space="preserve">Embedding Self-determination </w:t>
            </w:r>
          </w:p>
          <w:p w14:paraId="47AADA88" w14:textId="77777777" w:rsidR="00DA7C7B" w:rsidRPr="00240E02" w:rsidRDefault="00DA7C7B" w:rsidP="00DA7C7B">
            <w:pPr>
              <w:pStyle w:val="BodyText"/>
              <w:rPr>
                <w:rFonts w:ascii="Arial" w:hAnsi="Arial" w:cs="Arial"/>
                <w:sz w:val="20"/>
                <w:szCs w:val="20"/>
              </w:rPr>
            </w:pPr>
            <w:r w:rsidRPr="00240E02">
              <w:rPr>
                <w:rFonts w:ascii="Arial" w:hAnsi="Arial" w:cs="Arial"/>
                <w:sz w:val="20"/>
                <w:szCs w:val="20"/>
              </w:rPr>
              <w:t xml:space="preserve">V2020A </w:t>
            </w:r>
            <w:r>
              <w:rPr>
                <w:rFonts w:ascii="Arial" w:hAnsi="Arial" w:cs="Arial"/>
                <w:sz w:val="20"/>
                <w:szCs w:val="20"/>
              </w:rPr>
              <w:t>recommended</w:t>
            </w:r>
            <w:r w:rsidRPr="00240E02">
              <w:rPr>
                <w:rFonts w:ascii="Arial" w:hAnsi="Arial" w:cs="Arial"/>
                <w:sz w:val="20"/>
                <w:szCs w:val="20"/>
              </w:rPr>
              <w:t xml:space="preserve"> the </w:t>
            </w:r>
            <w:r>
              <w:rPr>
                <w:rFonts w:ascii="Arial" w:hAnsi="Arial" w:cs="Arial"/>
                <w:sz w:val="20"/>
                <w:szCs w:val="20"/>
              </w:rPr>
              <w:t xml:space="preserve">Draft </w:t>
            </w:r>
            <w:r w:rsidRPr="00240E02">
              <w:rPr>
                <w:rFonts w:ascii="Arial" w:hAnsi="Arial" w:cs="Arial"/>
                <w:sz w:val="20"/>
                <w:szCs w:val="20"/>
              </w:rPr>
              <w:t xml:space="preserve">Strategy be amended to embed the language of self-determination, from its objective and principles section through to the way roles, </w:t>
            </w:r>
            <w:r>
              <w:rPr>
                <w:rFonts w:ascii="Arial" w:hAnsi="Arial" w:cs="Arial"/>
                <w:sz w:val="20"/>
                <w:szCs w:val="20"/>
              </w:rPr>
              <w:t xml:space="preserve">actions and </w:t>
            </w:r>
            <w:r w:rsidRPr="00240E02">
              <w:rPr>
                <w:rFonts w:ascii="Arial" w:hAnsi="Arial" w:cs="Arial"/>
                <w:sz w:val="20"/>
                <w:szCs w:val="20"/>
              </w:rPr>
              <w:t xml:space="preserve">responsibilities </w:t>
            </w:r>
            <w:r>
              <w:rPr>
                <w:rFonts w:ascii="Arial" w:hAnsi="Arial" w:cs="Arial"/>
                <w:sz w:val="20"/>
                <w:szCs w:val="20"/>
              </w:rPr>
              <w:t>a</w:t>
            </w:r>
            <w:r w:rsidRPr="00240E02">
              <w:rPr>
                <w:rFonts w:ascii="Arial" w:hAnsi="Arial" w:cs="Arial"/>
                <w:sz w:val="20"/>
                <w:szCs w:val="20"/>
              </w:rPr>
              <w:t xml:space="preserve">re conceptualised and described.  </w:t>
            </w:r>
          </w:p>
          <w:p w14:paraId="008E6E26" w14:textId="5B326284" w:rsidR="003B7E90" w:rsidRDefault="00DA7C7B" w:rsidP="00DA7C7B">
            <w:pPr>
              <w:pStyle w:val="BodyText"/>
              <w:rPr>
                <w:rFonts w:ascii="Arial" w:hAnsi="Arial" w:cs="Arial"/>
                <w:sz w:val="20"/>
                <w:szCs w:val="20"/>
              </w:rPr>
            </w:pPr>
            <w:r w:rsidRPr="00240E02">
              <w:rPr>
                <w:rFonts w:ascii="Arial" w:hAnsi="Arial" w:cs="Arial"/>
                <w:sz w:val="20"/>
                <w:szCs w:val="20"/>
              </w:rPr>
              <w:t xml:space="preserve">Our submission argued doing so would bring the Strategy </w:t>
            </w:r>
            <w:r w:rsidR="0077544D">
              <w:rPr>
                <w:rFonts w:ascii="Arial" w:hAnsi="Arial" w:cs="Arial"/>
                <w:sz w:val="20"/>
                <w:szCs w:val="20"/>
              </w:rPr>
              <w:t>in</w:t>
            </w:r>
            <w:r w:rsidRPr="00240E02">
              <w:rPr>
                <w:rFonts w:ascii="Arial" w:hAnsi="Arial" w:cs="Arial"/>
                <w:sz w:val="20"/>
                <w:szCs w:val="20"/>
              </w:rPr>
              <w:t xml:space="preserve"> alignment with the new National Agreement on Closing The Gap.</w:t>
            </w:r>
          </w:p>
          <w:p w14:paraId="34671873" w14:textId="77777777" w:rsidR="003B7E90" w:rsidRPr="003B7E90" w:rsidRDefault="003B7E90" w:rsidP="003B7E90">
            <w:pPr>
              <w:rPr>
                <w:lang w:eastAsia="en-AU"/>
              </w:rPr>
            </w:pPr>
          </w:p>
          <w:p w14:paraId="12FCF90D" w14:textId="77777777" w:rsidR="003B7E90" w:rsidRPr="003B7E90" w:rsidRDefault="003B7E90" w:rsidP="003B7E90">
            <w:pPr>
              <w:rPr>
                <w:lang w:eastAsia="en-AU"/>
              </w:rPr>
            </w:pPr>
          </w:p>
          <w:p w14:paraId="11B2ABDB" w14:textId="77777777" w:rsidR="003B7E90" w:rsidRPr="003B7E90" w:rsidRDefault="003B7E90" w:rsidP="003B7E90">
            <w:pPr>
              <w:rPr>
                <w:lang w:eastAsia="en-AU"/>
              </w:rPr>
            </w:pPr>
          </w:p>
          <w:p w14:paraId="052FBCD5" w14:textId="77777777" w:rsidR="003B7E90" w:rsidRPr="003B7E90" w:rsidRDefault="003B7E90" w:rsidP="003B7E90">
            <w:pPr>
              <w:rPr>
                <w:lang w:eastAsia="en-AU"/>
              </w:rPr>
            </w:pPr>
          </w:p>
          <w:p w14:paraId="36FA3A4B" w14:textId="57702B08" w:rsidR="00DA7C7B" w:rsidRPr="003B7E90" w:rsidRDefault="00DA7C7B" w:rsidP="003B7E90">
            <w:pPr>
              <w:rPr>
                <w:lang w:eastAsia="en-AU"/>
              </w:rPr>
            </w:pPr>
          </w:p>
        </w:tc>
        <w:tc>
          <w:tcPr>
            <w:tcW w:w="5097" w:type="dxa"/>
          </w:tcPr>
          <w:p w14:paraId="73245A01" w14:textId="77777777" w:rsidR="008638A7" w:rsidRDefault="008638A7" w:rsidP="00DA7C7B">
            <w:pPr>
              <w:rPr>
                <w:rFonts w:ascii="Arial" w:hAnsi="Arial" w:cs="Arial"/>
                <w:sz w:val="20"/>
                <w:szCs w:val="20"/>
              </w:rPr>
            </w:pPr>
          </w:p>
          <w:p w14:paraId="549DCD07" w14:textId="5C78C767" w:rsidR="00DA7C7B" w:rsidRPr="00DA7C7B" w:rsidRDefault="00DA7C7B" w:rsidP="00DA7C7B">
            <w:pPr>
              <w:rPr>
                <w:rFonts w:ascii="Arial" w:hAnsi="Arial" w:cs="Arial"/>
                <w:sz w:val="20"/>
                <w:szCs w:val="20"/>
                <w:lang w:val="en-US"/>
              </w:rPr>
            </w:pPr>
            <w:r w:rsidRPr="00240E02">
              <w:rPr>
                <w:rFonts w:ascii="Arial" w:hAnsi="Arial" w:cs="Arial"/>
                <w:noProof/>
                <w:sz w:val="20"/>
                <w:szCs w:val="20"/>
              </w:rPr>
              <w:drawing>
                <wp:anchor distT="0" distB="0" distL="114300" distR="114300" simplePos="0" relativeHeight="251658240" behindDoc="0" locked="0" layoutInCell="1" allowOverlap="1" wp14:anchorId="689BF322" wp14:editId="4A0A2650">
                  <wp:simplePos x="0" y="0"/>
                  <wp:positionH relativeFrom="column">
                    <wp:posOffset>-156</wp:posOffset>
                  </wp:positionH>
                  <wp:positionV relativeFrom="paragraph">
                    <wp:posOffset>4193</wp:posOffset>
                  </wp:positionV>
                  <wp:extent cx="363600" cy="313200"/>
                  <wp:effectExtent l="0" t="0" r="0" b="0"/>
                  <wp:wrapSquare wrapText="bothSides"/>
                  <wp:docPr id="8" name="Picture 8" descr="YES, indicated by a ti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ck.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600" cy="313200"/>
                          </a:xfrm>
                          <a:prstGeom prst="rect">
                            <a:avLst/>
                          </a:prstGeom>
                        </pic:spPr>
                      </pic:pic>
                    </a:graphicData>
                  </a:graphic>
                  <wp14:sizeRelH relativeFrom="margin">
                    <wp14:pctWidth>0</wp14:pctWidth>
                  </wp14:sizeRelH>
                  <wp14:sizeRelV relativeFrom="margin">
                    <wp14:pctHeight>0</wp14:pctHeight>
                  </wp14:sizeRelV>
                </wp:anchor>
              </w:drawing>
            </w:r>
            <w:r w:rsidR="00920473">
              <w:rPr>
                <w:rFonts w:ascii="Arial" w:hAnsi="Arial" w:cs="Arial"/>
                <w:noProof/>
                <w:sz w:val="20"/>
                <w:szCs w:val="20"/>
              </w:rPr>
              <w:t>This recommendation</w:t>
            </w:r>
            <w:r w:rsidRPr="00240E02">
              <w:rPr>
                <w:rFonts w:ascii="Arial" w:hAnsi="Arial" w:cs="Arial"/>
                <w:sz w:val="20"/>
                <w:szCs w:val="20"/>
              </w:rPr>
              <w:t xml:space="preserve"> </w:t>
            </w:r>
            <w:r w:rsidRPr="00240E02">
              <w:rPr>
                <w:rFonts w:ascii="Arial" w:hAnsi="Arial" w:cs="Arial"/>
                <w:b/>
                <w:sz w:val="20"/>
                <w:szCs w:val="20"/>
              </w:rPr>
              <w:t>was reflected</w:t>
            </w:r>
            <w:r w:rsidRPr="00240E02">
              <w:rPr>
                <w:rFonts w:ascii="Arial" w:hAnsi="Arial" w:cs="Arial"/>
                <w:sz w:val="20"/>
                <w:szCs w:val="20"/>
              </w:rPr>
              <w:t xml:space="preserve"> in the </w:t>
            </w:r>
            <w:r w:rsidR="00D30004">
              <w:rPr>
                <w:rFonts w:ascii="Arial" w:hAnsi="Arial" w:cs="Arial"/>
                <w:sz w:val="20"/>
                <w:szCs w:val="20"/>
              </w:rPr>
              <w:t>released Indigenous</w:t>
            </w:r>
            <w:r w:rsidRPr="00240E02">
              <w:rPr>
                <w:rFonts w:ascii="Arial" w:hAnsi="Arial" w:cs="Arial"/>
                <w:sz w:val="20"/>
                <w:szCs w:val="20"/>
              </w:rPr>
              <w:t xml:space="preserve"> Evaluation Strategy. </w:t>
            </w:r>
          </w:p>
          <w:p w14:paraId="44CF63E1" w14:textId="77777777" w:rsidR="00DA7C7B" w:rsidRPr="00240E02" w:rsidRDefault="00DA7C7B" w:rsidP="00DA7C7B">
            <w:pPr>
              <w:rPr>
                <w:rFonts w:ascii="Arial" w:hAnsi="Arial" w:cs="Arial"/>
                <w:sz w:val="20"/>
                <w:szCs w:val="20"/>
              </w:rPr>
            </w:pPr>
          </w:p>
          <w:p w14:paraId="63377C83" w14:textId="77777777" w:rsidR="00DA7C7B" w:rsidRPr="00DA7C7B" w:rsidRDefault="00DA7C7B" w:rsidP="00DA7C7B">
            <w:pPr>
              <w:rPr>
                <w:rFonts w:ascii="Arial" w:hAnsi="Arial" w:cs="Arial"/>
                <w:i/>
                <w:sz w:val="20"/>
                <w:szCs w:val="20"/>
              </w:rPr>
            </w:pPr>
            <w:r w:rsidRPr="00DA7C7B">
              <w:rPr>
                <w:rFonts w:ascii="Arial" w:hAnsi="Arial" w:cs="Arial"/>
                <w:i/>
                <w:sz w:val="20"/>
                <w:szCs w:val="20"/>
                <w:u w:val="single"/>
              </w:rPr>
              <w:t>Page 10:</w:t>
            </w:r>
            <w:r w:rsidRPr="00DA7C7B">
              <w:rPr>
                <w:rFonts w:ascii="Arial" w:hAnsi="Arial" w:cs="Arial"/>
                <w:i/>
                <w:sz w:val="20"/>
                <w:szCs w:val="20"/>
              </w:rPr>
              <w:t xml:space="preserve"> </w:t>
            </w:r>
            <w:r w:rsidR="0077544D">
              <w:rPr>
                <w:rFonts w:ascii="Arial" w:hAnsi="Arial" w:cs="Arial"/>
                <w:i/>
                <w:sz w:val="20"/>
                <w:szCs w:val="20"/>
              </w:rPr>
              <w:t>It [Strategy]</w:t>
            </w:r>
            <w:r w:rsidRPr="00DA7C7B">
              <w:rPr>
                <w:rFonts w:ascii="Arial" w:hAnsi="Arial" w:cs="Arial"/>
                <w:i/>
                <w:sz w:val="20"/>
                <w:szCs w:val="20"/>
              </w:rPr>
              <w:t xml:space="preserve"> supports Aboriginal and Torres Strait Islander people’s </w:t>
            </w:r>
            <w:r w:rsidRPr="00DA7C7B">
              <w:rPr>
                <w:rFonts w:ascii="Arial" w:hAnsi="Arial" w:cs="Arial"/>
                <w:i/>
                <w:sz w:val="20"/>
                <w:szCs w:val="20"/>
                <w:u w:val="single"/>
              </w:rPr>
              <w:t>rights to self-determination and aligns with the National Agreement on Closing the Gap</w:t>
            </w:r>
            <w:r w:rsidRPr="00DA7C7B">
              <w:rPr>
                <w:rFonts w:ascii="Arial" w:hAnsi="Arial" w:cs="Arial"/>
                <w:i/>
                <w:sz w:val="20"/>
                <w:szCs w:val="20"/>
              </w:rPr>
              <w:t xml:space="preserve"> by emphasising the need for governments to change the way they work with Aboriginal and Torres Strait Islander people.</w:t>
            </w:r>
          </w:p>
          <w:p w14:paraId="62B09C42" w14:textId="77777777" w:rsidR="00DA7C7B" w:rsidRPr="00DA7C7B" w:rsidRDefault="00DA7C7B" w:rsidP="00DA7C7B">
            <w:pPr>
              <w:rPr>
                <w:rFonts w:ascii="Arial" w:hAnsi="Arial" w:cs="Arial"/>
                <w:i/>
                <w:sz w:val="20"/>
                <w:szCs w:val="20"/>
              </w:rPr>
            </w:pPr>
          </w:p>
          <w:p w14:paraId="2C6774AF" w14:textId="77777777" w:rsidR="00DA7C7B" w:rsidRPr="00DA7C7B" w:rsidRDefault="00DA7C7B" w:rsidP="00DA7C7B">
            <w:pPr>
              <w:rPr>
                <w:rFonts w:ascii="Arial" w:hAnsi="Arial" w:cs="Arial"/>
                <w:i/>
                <w:sz w:val="20"/>
                <w:szCs w:val="20"/>
              </w:rPr>
            </w:pPr>
            <w:r w:rsidRPr="00DA7C7B">
              <w:rPr>
                <w:rFonts w:ascii="Arial" w:hAnsi="Arial" w:cs="Arial"/>
                <w:i/>
                <w:sz w:val="20"/>
                <w:szCs w:val="20"/>
                <w:u w:val="single"/>
              </w:rPr>
              <w:t>Page 15:</w:t>
            </w:r>
            <w:r w:rsidRPr="00DA7C7B">
              <w:rPr>
                <w:rFonts w:ascii="Arial" w:hAnsi="Arial" w:cs="Arial"/>
                <w:i/>
                <w:sz w:val="20"/>
                <w:szCs w:val="20"/>
              </w:rPr>
              <w:t xml:space="preserve"> Evaluations support the National Agreement on Closing the Gap by providing evidence on how policies and programs affecting Aboriginal and Torres Strait Islander people are contributing to the National Agreement’s objectives and priorities.</w:t>
            </w:r>
          </w:p>
          <w:p w14:paraId="17F415D9" w14:textId="77777777" w:rsidR="00DA7C7B" w:rsidRPr="00240E02" w:rsidRDefault="00DA7C7B" w:rsidP="00DA7C7B">
            <w:pPr>
              <w:rPr>
                <w:rFonts w:ascii="Arial" w:hAnsi="Arial" w:cs="Arial"/>
                <w:sz w:val="20"/>
                <w:szCs w:val="20"/>
              </w:rPr>
            </w:pPr>
          </w:p>
          <w:p w14:paraId="09F6E91F" w14:textId="574328A7" w:rsidR="00DA7C7B" w:rsidRDefault="00DA7C7B" w:rsidP="00DA7C7B">
            <w:pPr>
              <w:rPr>
                <w:rFonts w:ascii="Arial" w:hAnsi="Arial" w:cs="Arial"/>
                <w:sz w:val="20"/>
                <w:szCs w:val="20"/>
              </w:rPr>
            </w:pPr>
            <w:r w:rsidRPr="00240E02">
              <w:rPr>
                <w:rFonts w:ascii="Arial" w:hAnsi="Arial" w:cs="Arial"/>
                <w:sz w:val="20"/>
                <w:szCs w:val="20"/>
              </w:rPr>
              <w:t>This wording was not in the Draft Strategy, but has now been included in the</w:t>
            </w:r>
            <w:r w:rsidR="00D30004">
              <w:rPr>
                <w:rFonts w:ascii="Arial" w:hAnsi="Arial" w:cs="Arial"/>
                <w:sz w:val="20"/>
                <w:szCs w:val="20"/>
              </w:rPr>
              <w:t xml:space="preserve"> released</w:t>
            </w:r>
            <w:r w:rsidRPr="00240E02">
              <w:rPr>
                <w:rFonts w:ascii="Arial" w:hAnsi="Arial" w:cs="Arial"/>
                <w:sz w:val="20"/>
                <w:szCs w:val="20"/>
              </w:rPr>
              <w:t xml:space="preserve"> </w:t>
            </w:r>
            <w:r w:rsidR="00D30004">
              <w:rPr>
                <w:rFonts w:ascii="Arial" w:hAnsi="Arial" w:cs="Arial"/>
                <w:sz w:val="20"/>
                <w:szCs w:val="20"/>
              </w:rPr>
              <w:t>Indigenous</w:t>
            </w:r>
            <w:r w:rsidR="00D30004" w:rsidRPr="00240E02">
              <w:rPr>
                <w:rFonts w:ascii="Arial" w:hAnsi="Arial" w:cs="Arial"/>
                <w:sz w:val="20"/>
                <w:szCs w:val="20"/>
              </w:rPr>
              <w:t xml:space="preserve"> Evaluation Strategy</w:t>
            </w:r>
            <w:r w:rsidRPr="00240E02">
              <w:rPr>
                <w:rFonts w:ascii="Arial" w:hAnsi="Arial" w:cs="Arial"/>
                <w:sz w:val="20"/>
                <w:szCs w:val="20"/>
              </w:rPr>
              <w:t>.</w:t>
            </w:r>
          </w:p>
          <w:p w14:paraId="605A0215" w14:textId="77777777" w:rsidR="00AC2FFD" w:rsidRPr="00240E02" w:rsidRDefault="00AC2FFD" w:rsidP="00DA7C7B">
            <w:pPr>
              <w:rPr>
                <w:rFonts w:ascii="Arial" w:hAnsi="Arial" w:cs="Arial"/>
                <w:sz w:val="20"/>
                <w:szCs w:val="20"/>
              </w:rPr>
            </w:pPr>
          </w:p>
        </w:tc>
      </w:tr>
      <w:tr w:rsidR="00DA7C7B" w:rsidRPr="00920473" w14:paraId="3D509BA3" w14:textId="77777777" w:rsidTr="00677803">
        <w:tc>
          <w:tcPr>
            <w:tcW w:w="4531" w:type="dxa"/>
          </w:tcPr>
          <w:p w14:paraId="69C84CED" w14:textId="77777777" w:rsidR="00367D0C" w:rsidRPr="00920473" w:rsidRDefault="00367D0C" w:rsidP="008638A7">
            <w:pPr>
              <w:pStyle w:val="BodyText"/>
              <w:rPr>
                <w:b/>
                <w:sz w:val="20"/>
                <w:szCs w:val="20"/>
              </w:rPr>
            </w:pPr>
            <w:r w:rsidRPr="00920473">
              <w:rPr>
                <w:b/>
                <w:sz w:val="20"/>
                <w:szCs w:val="20"/>
              </w:rPr>
              <w:t>Indigenous Data Sovereignty</w:t>
            </w:r>
          </w:p>
          <w:p w14:paraId="443C0421" w14:textId="042F994E" w:rsidR="003B7E90" w:rsidRDefault="00367D0C" w:rsidP="00367D0C">
            <w:pPr>
              <w:pStyle w:val="TableBody"/>
              <w:rPr>
                <w:sz w:val="20"/>
                <w:szCs w:val="20"/>
              </w:rPr>
            </w:pPr>
            <w:r w:rsidRPr="00920473">
              <w:rPr>
                <w:rFonts w:ascii="Arial" w:hAnsi="Arial" w:cs="Arial"/>
                <w:sz w:val="20"/>
                <w:szCs w:val="20"/>
              </w:rPr>
              <w:t>In addition to referencing self-determination, V2020A recommended the Strategy actively acknowledge, reference and commit to supporting Indigenous Data Sovereignty</w:t>
            </w:r>
            <w:r w:rsidR="0077544D" w:rsidRPr="00920473">
              <w:rPr>
                <w:rFonts w:ascii="Arial" w:hAnsi="Arial" w:cs="Arial"/>
                <w:sz w:val="20"/>
                <w:szCs w:val="20"/>
              </w:rPr>
              <w:t>.</w:t>
            </w:r>
          </w:p>
          <w:p w14:paraId="3CC275E6" w14:textId="77777777" w:rsidR="003B7E90" w:rsidRPr="003B7E90" w:rsidRDefault="003B7E90" w:rsidP="003B7E90"/>
          <w:p w14:paraId="120AD6BC" w14:textId="77777777" w:rsidR="003B7E90" w:rsidRPr="003B7E90" w:rsidRDefault="003B7E90" w:rsidP="003B7E90"/>
          <w:p w14:paraId="625ABB89" w14:textId="77777777" w:rsidR="003B7E90" w:rsidRPr="003B7E90" w:rsidRDefault="003B7E90" w:rsidP="003B7E90"/>
          <w:p w14:paraId="753707C7" w14:textId="77777777" w:rsidR="003B7E90" w:rsidRPr="003B7E90" w:rsidRDefault="003B7E90" w:rsidP="003B7E90"/>
          <w:p w14:paraId="3118ECAD" w14:textId="64ADA8F1" w:rsidR="00DA7C7B" w:rsidRPr="003B7E90" w:rsidRDefault="00DA7C7B" w:rsidP="003B7E90"/>
        </w:tc>
        <w:tc>
          <w:tcPr>
            <w:tcW w:w="5097" w:type="dxa"/>
          </w:tcPr>
          <w:p w14:paraId="4D772C45" w14:textId="77777777" w:rsidR="008638A7" w:rsidRPr="00920473" w:rsidRDefault="008638A7" w:rsidP="00AC2FFD">
            <w:pPr>
              <w:rPr>
                <w:rFonts w:ascii="Arial" w:hAnsi="Arial" w:cs="Arial"/>
                <w:sz w:val="20"/>
                <w:szCs w:val="20"/>
              </w:rPr>
            </w:pPr>
          </w:p>
          <w:p w14:paraId="6FEA3B70" w14:textId="000F80C1" w:rsidR="00AC2FFD" w:rsidRPr="00920473" w:rsidRDefault="00367D0C" w:rsidP="00AC2FFD">
            <w:pPr>
              <w:rPr>
                <w:rFonts w:ascii="Arial" w:hAnsi="Arial" w:cs="Arial"/>
                <w:sz w:val="20"/>
                <w:szCs w:val="20"/>
              </w:rPr>
            </w:pPr>
            <w:r w:rsidRPr="00920473">
              <w:rPr>
                <w:rFonts w:ascii="Arial" w:hAnsi="Arial" w:cs="Arial"/>
                <w:noProof/>
                <w:sz w:val="20"/>
                <w:szCs w:val="20"/>
              </w:rPr>
              <w:drawing>
                <wp:anchor distT="0" distB="0" distL="114300" distR="114300" simplePos="0" relativeHeight="251659264" behindDoc="0" locked="0" layoutInCell="1" allowOverlap="1" wp14:anchorId="302692E4" wp14:editId="55B1B944">
                  <wp:simplePos x="0" y="0"/>
                  <wp:positionH relativeFrom="column">
                    <wp:posOffset>-156</wp:posOffset>
                  </wp:positionH>
                  <wp:positionV relativeFrom="paragraph">
                    <wp:posOffset>3031</wp:posOffset>
                  </wp:positionV>
                  <wp:extent cx="403200" cy="453600"/>
                  <wp:effectExtent l="0" t="0" r="0" b="3810"/>
                  <wp:wrapSquare wrapText="bothSides"/>
                  <wp:docPr id="2" name="Picture 2" descr="NO, indicated by a cros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oss.jpe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403200" cy="453600"/>
                          </a:xfrm>
                          <a:prstGeom prst="rect">
                            <a:avLst/>
                          </a:prstGeom>
                        </pic:spPr>
                      </pic:pic>
                    </a:graphicData>
                  </a:graphic>
                  <wp14:sizeRelH relativeFrom="margin">
                    <wp14:pctWidth>0</wp14:pctWidth>
                  </wp14:sizeRelH>
                  <wp14:sizeRelV relativeFrom="margin">
                    <wp14:pctHeight>0</wp14:pctHeight>
                  </wp14:sizeRelV>
                </wp:anchor>
              </w:drawing>
            </w:r>
            <w:r w:rsidR="008638A7" w:rsidRPr="00920473">
              <w:rPr>
                <w:rFonts w:ascii="Arial" w:hAnsi="Arial" w:cs="Arial"/>
                <w:noProof/>
                <w:sz w:val="20"/>
                <w:szCs w:val="20"/>
              </w:rPr>
              <w:t>This recommendation</w:t>
            </w:r>
            <w:r w:rsidRPr="00920473">
              <w:rPr>
                <w:rFonts w:ascii="Arial" w:hAnsi="Arial" w:cs="Arial"/>
                <w:sz w:val="20"/>
                <w:szCs w:val="20"/>
              </w:rPr>
              <w:t xml:space="preserve"> </w:t>
            </w:r>
            <w:r w:rsidR="008638A7" w:rsidRPr="00920473">
              <w:rPr>
                <w:rFonts w:ascii="Arial" w:hAnsi="Arial" w:cs="Arial"/>
                <w:b/>
                <w:sz w:val="20"/>
                <w:szCs w:val="20"/>
              </w:rPr>
              <w:t>was</w:t>
            </w:r>
            <w:r w:rsidR="008638A7" w:rsidRPr="00920473">
              <w:rPr>
                <w:rFonts w:ascii="Arial" w:hAnsi="Arial" w:cs="Arial"/>
                <w:sz w:val="20"/>
                <w:szCs w:val="20"/>
              </w:rPr>
              <w:t xml:space="preserve"> </w:t>
            </w:r>
            <w:r w:rsidRPr="00920473">
              <w:rPr>
                <w:rFonts w:ascii="Arial" w:hAnsi="Arial" w:cs="Arial"/>
                <w:b/>
                <w:sz w:val="20"/>
                <w:szCs w:val="20"/>
              </w:rPr>
              <w:t>not</w:t>
            </w:r>
            <w:r w:rsidRPr="00920473">
              <w:rPr>
                <w:rFonts w:ascii="Arial" w:hAnsi="Arial" w:cs="Arial"/>
                <w:sz w:val="20"/>
                <w:szCs w:val="20"/>
              </w:rPr>
              <w:t xml:space="preserve"> </w:t>
            </w:r>
            <w:r w:rsidRPr="00920473">
              <w:rPr>
                <w:rFonts w:ascii="Arial" w:hAnsi="Arial" w:cs="Arial"/>
                <w:b/>
                <w:sz w:val="20"/>
                <w:szCs w:val="20"/>
              </w:rPr>
              <w:t>reflected</w:t>
            </w:r>
            <w:r w:rsidRPr="00920473">
              <w:rPr>
                <w:rFonts w:ascii="Arial" w:hAnsi="Arial" w:cs="Arial"/>
                <w:sz w:val="20"/>
                <w:szCs w:val="20"/>
              </w:rPr>
              <w:t xml:space="preserve"> in </w:t>
            </w:r>
            <w:r w:rsidRPr="00D30004">
              <w:rPr>
                <w:rFonts w:cstheme="minorHAnsi"/>
                <w:sz w:val="20"/>
                <w:szCs w:val="20"/>
              </w:rPr>
              <w:t xml:space="preserve">the </w:t>
            </w:r>
            <w:r w:rsidR="00D30004" w:rsidRPr="00D30004">
              <w:rPr>
                <w:rFonts w:cstheme="minorHAnsi"/>
                <w:sz w:val="20"/>
                <w:szCs w:val="20"/>
              </w:rPr>
              <w:t>released Indigenous Evaluation Strategy</w:t>
            </w:r>
            <w:r w:rsidR="00AC2FFD" w:rsidRPr="00D30004">
              <w:rPr>
                <w:rFonts w:cstheme="minorHAnsi"/>
                <w:sz w:val="20"/>
                <w:szCs w:val="20"/>
              </w:rPr>
              <w:t>.</w:t>
            </w:r>
          </w:p>
          <w:p w14:paraId="07F738DE" w14:textId="77777777" w:rsidR="00AC2FFD" w:rsidRPr="00920473" w:rsidRDefault="00AC2FFD" w:rsidP="00AC2FFD">
            <w:pPr>
              <w:rPr>
                <w:rFonts w:ascii="Arial" w:hAnsi="Arial" w:cs="Arial"/>
                <w:sz w:val="20"/>
                <w:szCs w:val="20"/>
              </w:rPr>
            </w:pPr>
          </w:p>
          <w:p w14:paraId="324D55D2" w14:textId="77777777" w:rsidR="00D76AA2" w:rsidRDefault="00D76AA2" w:rsidP="00AC2FFD">
            <w:pPr>
              <w:rPr>
                <w:rFonts w:ascii="Arial" w:hAnsi="Arial" w:cs="Arial"/>
                <w:sz w:val="20"/>
                <w:szCs w:val="20"/>
              </w:rPr>
            </w:pPr>
          </w:p>
          <w:p w14:paraId="5BE22377" w14:textId="77AA92C1" w:rsidR="003E2CCE" w:rsidRPr="00920473" w:rsidRDefault="00AC2FFD" w:rsidP="00AC2FFD">
            <w:pPr>
              <w:rPr>
                <w:i/>
                <w:sz w:val="20"/>
                <w:szCs w:val="20"/>
              </w:rPr>
            </w:pPr>
            <w:r w:rsidRPr="00A50A5B">
              <w:rPr>
                <w:rFonts w:cstheme="minorHAnsi"/>
                <w:sz w:val="20"/>
                <w:szCs w:val="20"/>
              </w:rPr>
              <w:t>T</w:t>
            </w:r>
            <w:r w:rsidR="00404C51" w:rsidRPr="00A50A5B">
              <w:rPr>
                <w:rFonts w:cstheme="minorHAnsi"/>
                <w:sz w:val="20"/>
                <w:szCs w:val="20"/>
              </w:rPr>
              <w:t>he</w:t>
            </w:r>
            <w:r w:rsidRPr="00A50A5B">
              <w:rPr>
                <w:rFonts w:cstheme="minorHAnsi"/>
                <w:sz w:val="20"/>
                <w:szCs w:val="20"/>
              </w:rPr>
              <w:t xml:space="preserve"> </w:t>
            </w:r>
            <w:r w:rsidR="00B61C5E" w:rsidRPr="00A50A5B">
              <w:rPr>
                <w:rFonts w:cstheme="minorHAnsi"/>
                <w:sz w:val="20"/>
                <w:szCs w:val="20"/>
              </w:rPr>
              <w:t xml:space="preserve">released Indigenous Evaluation Strategy </w:t>
            </w:r>
            <w:r w:rsidR="00750F58" w:rsidRPr="00A50A5B">
              <w:rPr>
                <w:rFonts w:cstheme="minorHAnsi"/>
                <w:sz w:val="20"/>
                <w:szCs w:val="20"/>
              </w:rPr>
              <w:t xml:space="preserve">does make </w:t>
            </w:r>
            <w:r w:rsidR="00404C51" w:rsidRPr="00A50A5B">
              <w:rPr>
                <w:rFonts w:cstheme="minorHAnsi"/>
                <w:sz w:val="20"/>
                <w:szCs w:val="20"/>
              </w:rPr>
              <w:t>reference</w:t>
            </w:r>
            <w:r w:rsidR="003E2CCE" w:rsidRPr="00A50A5B">
              <w:rPr>
                <w:rFonts w:cstheme="minorHAnsi"/>
                <w:i/>
                <w:sz w:val="20"/>
                <w:szCs w:val="20"/>
              </w:rPr>
              <w:t xml:space="preserve"> to</w:t>
            </w:r>
            <w:r w:rsidR="0082525D" w:rsidRPr="00A50A5B">
              <w:rPr>
                <w:rFonts w:cstheme="minorHAnsi"/>
                <w:i/>
                <w:sz w:val="20"/>
                <w:szCs w:val="20"/>
              </w:rPr>
              <w:t xml:space="preserve"> </w:t>
            </w:r>
            <w:r w:rsidR="003E2CCE" w:rsidRPr="00A50A5B">
              <w:rPr>
                <w:rFonts w:cstheme="minorHAnsi"/>
                <w:i/>
                <w:sz w:val="20"/>
                <w:szCs w:val="20"/>
              </w:rPr>
              <w:t>“..ownership</w:t>
            </w:r>
            <w:r w:rsidR="003E2CCE" w:rsidRPr="00920473">
              <w:rPr>
                <w:i/>
                <w:sz w:val="20"/>
                <w:szCs w:val="20"/>
              </w:rPr>
              <w:t>, management and communication of data and results be negotiated with Aboriginal and Torres Strait Islander people and processes are agreed to at an early stage”</w:t>
            </w:r>
            <w:r w:rsidR="00404C51" w:rsidRPr="00920473">
              <w:rPr>
                <w:i/>
                <w:sz w:val="20"/>
                <w:szCs w:val="20"/>
              </w:rPr>
              <w:t xml:space="preserve"> (</w:t>
            </w:r>
            <w:r w:rsidR="00404C51" w:rsidRPr="00920473">
              <w:rPr>
                <w:i/>
                <w:sz w:val="20"/>
                <w:szCs w:val="20"/>
                <w:u w:val="single"/>
              </w:rPr>
              <w:t>page 17</w:t>
            </w:r>
            <w:r w:rsidR="00404C51" w:rsidRPr="00920473">
              <w:rPr>
                <w:i/>
                <w:sz w:val="20"/>
                <w:szCs w:val="20"/>
              </w:rPr>
              <w:t>)</w:t>
            </w:r>
            <w:r w:rsidRPr="00920473">
              <w:rPr>
                <w:i/>
                <w:sz w:val="20"/>
                <w:szCs w:val="20"/>
              </w:rPr>
              <w:t>.</w:t>
            </w:r>
          </w:p>
          <w:p w14:paraId="0D7785B1" w14:textId="77777777" w:rsidR="00AC2FFD" w:rsidRPr="00920473" w:rsidRDefault="00AC2FFD" w:rsidP="00AC2FFD">
            <w:pPr>
              <w:rPr>
                <w:rFonts w:ascii="Arial" w:hAnsi="Arial" w:cs="Arial"/>
                <w:sz w:val="20"/>
                <w:szCs w:val="20"/>
              </w:rPr>
            </w:pPr>
          </w:p>
        </w:tc>
      </w:tr>
      <w:tr w:rsidR="0077544D" w:rsidRPr="00AC2FFD" w14:paraId="4FD6D6C2" w14:textId="77777777" w:rsidTr="00677803">
        <w:tc>
          <w:tcPr>
            <w:tcW w:w="4531" w:type="dxa"/>
          </w:tcPr>
          <w:p w14:paraId="586F88DE" w14:textId="77777777" w:rsidR="0077544D" w:rsidRPr="00AC2FFD" w:rsidRDefault="0077544D" w:rsidP="00AC2FFD">
            <w:pPr>
              <w:pStyle w:val="BodyText"/>
              <w:rPr>
                <w:b/>
                <w:sz w:val="20"/>
                <w:szCs w:val="20"/>
              </w:rPr>
            </w:pPr>
            <w:r w:rsidRPr="00AC2FFD">
              <w:rPr>
                <w:b/>
                <w:sz w:val="20"/>
                <w:szCs w:val="20"/>
              </w:rPr>
              <w:lastRenderedPageBreak/>
              <w:t>Maximising the benefits of cross sector evaluation strategy and resources</w:t>
            </w:r>
          </w:p>
          <w:p w14:paraId="49E27F85" w14:textId="77777777" w:rsidR="0077544D" w:rsidRPr="00AC2FFD" w:rsidRDefault="0077544D" w:rsidP="0077544D">
            <w:pPr>
              <w:pStyle w:val="BodyText"/>
              <w:rPr>
                <w:rFonts w:ascii="Arial" w:hAnsi="Arial" w:cs="Arial"/>
                <w:sz w:val="20"/>
                <w:szCs w:val="20"/>
                <w:lang w:val="en-US"/>
              </w:rPr>
            </w:pPr>
            <w:r w:rsidRPr="00AC2FFD">
              <w:rPr>
                <w:rFonts w:ascii="Arial" w:hAnsi="Arial" w:cs="Arial"/>
                <w:sz w:val="20"/>
                <w:szCs w:val="20"/>
              </w:rPr>
              <w:t>V2020A encouraged the Productivity Commission to consider how the final evaluation strategy can support consistency in evaluation approaches across all organisations working with Aboriginal and Torres Strait Islander communities (including those outside government).</w:t>
            </w:r>
          </w:p>
        </w:tc>
        <w:tc>
          <w:tcPr>
            <w:tcW w:w="5097" w:type="dxa"/>
          </w:tcPr>
          <w:p w14:paraId="1142E71D" w14:textId="77777777" w:rsidR="008638A7" w:rsidRDefault="008638A7" w:rsidP="0077544D">
            <w:pPr>
              <w:rPr>
                <w:rFonts w:ascii="Arial" w:hAnsi="Arial" w:cs="Arial"/>
                <w:sz w:val="20"/>
                <w:szCs w:val="20"/>
              </w:rPr>
            </w:pPr>
          </w:p>
          <w:p w14:paraId="4EA8F630" w14:textId="6B8C4A69" w:rsidR="0077544D" w:rsidRPr="00AC2FFD" w:rsidRDefault="0077544D" w:rsidP="0077544D">
            <w:pPr>
              <w:rPr>
                <w:rFonts w:ascii="Arial" w:hAnsi="Arial" w:cs="Arial"/>
                <w:sz w:val="20"/>
                <w:szCs w:val="20"/>
                <w:lang w:val="en-US"/>
              </w:rPr>
            </w:pPr>
            <w:r w:rsidRPr="00AC2FFD">
              <w:rPr>
                <w:rFonts w:ascii="Arial" w:hAnsi="Arial" w:cs="Arial"/>
                <w:noProof/>
                <w:sz w:val="20"/>
                <w:szCs w:val="20"/>
              </w:rPr>
              <w:drawing>
                <wp:anchor distT="0" distB="0" distL="114300" distR="114300" simplePos="0" relativeHeight="251660288" behindDoc="0" locked="0" layoutInCell="1" allowOverlap="1" wp14:anchorId="2AAC35E4" wp14:editId="569B4594">
                  <wp:simplePos x="0" y="0"/>
                  <wp:positionH relativeFrom="column">
                    <wp:posOffset>-156</wp:posOffset>
                  </wp:positionH>
                  <wp:positionV relativeFrom="paragraph">
                    <wp:posOffset>467</wp:posOffset>
                  </wp:positionV>
                  <wp:extent cx="363600" cy="313200"/>
                  <wp:effectExtent l="0" t="0" r="0" b="0"/>
                  <wp:wrapSquare wrapText="bothSides"/>
                  <wp:docPr id="9" name="Picture 9" descr="YES, indicated by a ti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ck.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600" cy="313200"/>
                          </a:xfrm>
                          <a:prstGeom prst="rect">
                            <a:avLst/>
                          </a:prstGeom>
                        </pic:spPr>
                      </pic:pic>
                    </a:graphicData>
                  </a:graphic>
                  <wp14:sizeRelH relativeFrom="margin">
                    <wp14:pctWidth>0</wp14:pctWidth>
                  </wp14:sizeRelH>
                  <wp14:sizeRelV relativeFrom="margin">
                    <wp14:pctHeight>0</wp14:pctHeight>
                  </wp14:sizeRelV>
                </wp:anchor>
              </w:drawing>
            </w:r>
            <w:r w:rsidR="00920473">
              <w:rPr>
                <w:rFonts w:ascii="Arial" w:hAnsi="Arial" w:cs="Arial"/>
                <w:noProof/>
                <w:sz w:val="20"/>
                <w:szCs w:val="20"/>
              </w:rPr>
              <w:t>This</w:t>
            </w:r>
            <w:r w:rsidRPr="00AC2FFD">
              <w:rPr>
                <w:rFonts w:ascii="Arial" w:hAnsi="Arial" w:cs="Arial"/>
                <w:sz w:val="20"/>
                <w:szCs w:val="20"/>
              </w:rPr>
              <w:t xml:space="preserve"> recommendation </w:t>
            </w:r>
            <w:r w:rsidRPr="00AC2FFD">
              <w:rPr>
                <w:rFonts w:ascii="Arial" w:hAnsi="Arial" w:cs="Arial"/>
                <w:b/>
                <w:sz w:val="20"/>
                <w:szCs w:val="20"/>
              </w:rPr>
              <w:t>was reflected</w:t>
            </w:r>
            <w:r w:rsidRPr="00AC2FFD">
              <w:rPr>
                <w:rFonts w:ascii="Arial" w:hAnsi="Arial" w:cs="Arial"/>
                <w:sz w:val="20"/>
                <w:szCs w:val="20"/>
              </w:rPr>
              <w:t xml:space="preserve"> in </w:t>
            </w:r>
            <w:r w:rsidR="00A50A5B" w:rsidRPr="00D30004">
              <w:rPr>
                <w:rFonts w:cstheme="minorHAnsi"/>
                <w:sz w:val="20"/>
                <w:szCs w:val="20"/>
              </w:rPr>
              <w:t>the released Indigenous Evaluation Strategy</w:t>
            </w:r>
            <w:r w:rsidRPr="00AC2FFD">
              <w:rPr>
                <w:rFonts w:ascii="Arial" w:hAnsi="Arial" w:cs="Arial"/>
                <w:sz w:val="20"/>
                <w:szCs w:val="20"/>
              </w:rPr>
              <w:t xml:space="preserve">. </w:t>
            </w:r>
          </w:p>
          <w:p w14:paraId="42F9612F" w14:textId="77777777" w:rsidR="00677803" w:rsidRPr="00AC2FFD" w:rsidRDefault="00677803" w:rsidP="0077544D">
            <w:pPr>
              <w:rPr>
                <w:rFonts w:ascii="Arial" w:hAnsi="Arial" w:cs="Arial"/>
                <w:sz w:val="20"/>
                <w:szCs w:val="20"/>
                <w:lang w:val="en-US"/>
              </w:rPr>
            </w:pPr>
          </w:p>
          <w:p w14:paraId="7412286E" w14:textId="77777777" w:rsidR="0077544D" w:rsidRPr="00677803" w:rsidRDefault="0077544D" w:rsidP="0077544D">
            <w:pPr>
              <w:rPr>
                <w:rFonts w:ascii="Arial" w:hAnsi="Arial" w:cs="Arial"/>
                <w:i/>
                <w:sz w:val="20"/>
                <w:szCs w:val="20"/>
              </w:rPr>
            </w:pPr>
            <w:r w:rsidRPr="00677803">
              <w:rPr>
                <w:rFonts w:ascii="Arial" w:hAnsi="Arial" w:cs="Arial"/>
                <w:i/>
                <w:sz w:val="20"/>
                <w:szCs w:val="20"/>
                <w:u w:val="single"/>
              </w:rPr>
              <w:t>Page 14:</w:t>
            </w:r>
            <w:r w:rsidRPr="00677803">
              <w:rPr>
                <w:rFonts w:ascii="Arial" w:hAnsi="Arial" w:cs="Arial"/>
                <w:i/>
                <w:sz w:val="20"/>
                <w:szCs w:val="20"/>
              </w:rPr>
              <w:t xml:space="preserve"> Useful evaluations consider the needs of a range of end-users —</w:t>
            </w:r>
            <w:r w:rsidR="00F03439" w:rsidRPr="00677803">
              <w:rPr>
                <w:rFonts w:ascii="Arial" w:hAnsi="Arial" w:cs="Arial"/>
                <w:i/>
                <w:sz w:val="20"/>
                <w:szCs w:val="20"/>
              </w:rPr>
              <w:t xml:space="preserve"> </w:t>
            </w:r>
            <w:r w:rsidRPr="00677803">
              <w:rPr>
                <w:rFonts w:ascii="Arial" w:hAnsi="Arial" w:cs="Arial"/>
                <w:i/>
                <w:sz w:val="20"/>
                <w:szCs w:val="20"/>
              </w:rPr>
              <w:t>including governments, Aboriginal and Torres Strait Islander people, organisations and communities — and tailor questions, approaches, interpretation and reporting accordingly.</w:t>
            </w:r>
          </w:p>
          <w:p w14:paraId="77A5F46D" w14:textId="77777777" w:rsidR="0077544D" w:rsidRPr="00AC2FFD" w:rsidRDefault="0077544D" w:rsidP="0077544D">
            <w:pPr>
              <w:rPr>
                <w:rFonts w:ascii="Arial" w:hAnsi="Arial" w:cs="Arial"/>
                <w:b/>
                <w:i/>
                <w:sz w:val="20"/>
                <w:szCs w:val="20"/>
                <w:lang w:val="en-US"/>
              </w:rPr>
            </w:pPr>
          </w:p>
          <w:p w14:paraId="11DBE652" w14:textId="4D1DA67D" w:rsidR="0077544D" w:rsidRDefault="0077544D" w:rsidP="0077544D">
            <w:pPr>
              <w:rPr>
                <w:rFonts w:ascii="Arial" w:hAnsi="Arial" w:cs="Arial"/>
                <w:sz w:val="20"/>
                <w:szCs w:val="20"/>
              </w:rPr>
            </w:pPr>
            <w:r w:rsidRPr="00AC2FFD">
              <w:rPr>
                <w:rFonts w:ascii="Arial" w:hAnsi="Arial" w:cs="Arial"/>
                <w:sz w:val="20"/>
                <w:szCs w:val="20"/>
              </w:rPr>
              <w:t xml:space="preserve">This wording was not in the Draft Strategy, but has now been included in the </w:t>
            </w:r>
            <w:r w:rsidR="0089724E" w:rsidRPr="00D30004">
              <w:rPr>
                <w:rFonts w:cstheme="minorHAnsi"/>
                <w:sz w:val="20"/>
                <w:szCs w:val="20"/>
              </w:rPr>
              <w:t xml:space="preserve">released Indigenous Evaluation </w:t>
            </w:r>
            <w:r w:rsidRPr="00AC2FFD">
              <w:rPr>
                <w:rFonts w:ascii="Arial" w:hAnsi="Arial" w:cs="Arial"/>
                <w:sz w:val="20"/>
                <w:szCs w:val="20"/>
              </w:rPr>
              <w:t>Strategy.</w:t>
            </w:r>
          </w:p>
          <w:p w14:paraId="349EEC2A" w14:textId="6EBE33F3" w:rsidR="0082525D" w:rsidRPr="00AC2FFD" w:rsidRDefault="0082525D" w:rsidP="0077544D">
            <w:pPr>
              <w:rPr>
                <w:rFonts w:ascii="Arial" w:hAnsi="Arial" w:cs="Arial"/>
                <w:b/>
                <w:i/>
                <w:sz w:val="20"/>
                <w:szCs w:val="20"/>
                <w:lang w:val="en-US"/>
              </w:rPr>
            </w:pPr>
          </w:p>
        </w:tc>
      </w:tr>
      <w:tr w:rsidR="008128A9" w:rsidRPr="00920473" w14:paraId="16CD0E94" w14:textId="77777777" w:rsidTr="00677803">
        <w:tc>
          <w:tcPr>
            <w:tcW w:w="4531" w:type="dxa"/>
          </w:tcPr>
          <w:p w14:paraId="7FF99F99" w14:textId="77777777" w:rsidR="008128A9" w:rsidRPr="00920473" w:rsidRDefault="008128A9" w:rsidP="008638A7">
            <w:pPr>
              <w:pStyle w:val="BodyText"/>
              <w:rPr>
                <w:b/>
                <w:sz w:val="20"/>
                <w:szCs w:val="20"/>
              </w:rPr>
            </w:pPr>
            <w:r w:rsidRPr="00920473">
              <w:rPr>
                <w:b/>
                <w:sz w:val="20"/>
                <w:szCs w:val="20"/>
              </w:rPr>
              <w:t>Seeking perspectives from ‘interfacing’ stakeholders</w:t>
            </w:r>
          </w:p>
          <w:p w14:paraId="266CA998" w14:textId="77777777" w:rsidR="008128A9" w:rsidRPr="00920473" w:rsidRDefault="008128A9" w:rsidP="008128A9">
            <w:pPr>
              <w:pStyle w:val="BodyText"/>
              <w:rPr>
                <w:rFonts w:ascii="Arial" w:hAnsi="Arial" w:cs="Arial"/>
                <w:sz w:val="20"/>
                <w:szCs w:val="20"/>
              </w:rPr>
            </w:pPr>
            <w:r w:rsidRPr="00920473">
              <w:rPr>
                <w:rFonts w:ascii="Arial" w:hAnsi="Arial" w:cs="Arial"/>
                <w:sz w:val="20"/>
                <w:szCs w:val="20"/>
              </w:rPr>
              <w:t>V2020A recommended the Strategy consider creating an obligation for the evaluation process to have regard for the perspectives of others working with communities and/or interfacing with the</w:t>
            </w:r>
            <w:r w:rsidR="00C330C1" w:rsidRPr="00920473">
              <w:rPr>
                <w:rFonts w:ascii="Arial" w:hAnsi="Arial" w:cs="Arial"/>
                <w:sz w:val="20"/>
                <w:szCs w:val="20"/>
              </w:rPr>
              <w:t xml:space="preserve"> programs</w:t>
            </w:r>
            <w:r w:rsidRPr="00920473">
              <w:rPr>
                <w:rFonts w:ascii="Arial" w:hAnsi="Arial" w:cs="Arial"/>
                <w:sz w:val="20"/>
                <w:szCs w:val="20"/>
              </w:rPr>
              <w:t xml:space="preserve">; to provide insights into how </w:t>
            </w:r>
            <w:r w:rsidR="00C330C1" w:rsidRPr="00920473">
              <w:rPr>
                <w:rFonts w:ascii="Arial" w:hAnsi="Arial" w:cs="Arial"/>
                <w:sz w:val="20"/>
                <w:szCs w:val="20"/>
              </w:rPr>
              <w:t>they</w:t>
            </w:r>
            <w:r w:rsidRPr="00920473">
              <w:rPr>
                <w:rFonts w:ascii="Arial" w:hAnsi="Arial" w:cs="Arial"/>
                <w:sz w:val="20"/>
                <w:szCs w:val="20"/>
              </w:rPr>
              <w:t xml:space="preserve"> fit into the broader system and contribute towards integration of effort.</w:t>
            </w:r>
          </w:p>
        </w:tc>
        <w:tc>
          <w:tcPr>
            <w:tcW w:w="5097" w:type="dxa"/>
          </w:tcPr>
          <w:p w14:paraId="56AE308D" w14:textId="77777777" w:rsidR="00234B27" w:rsidRDefault="00234B27" w:rsidP="008128A9">
            <w:pPr>
              <w:rPr>
                <w:rFonts w:ascii="Arial" w:hAnsi="Arial" w:cs="Arial"/>
                <w:sz w:val="20"/>
                <w:szCs w:val="20"/>
              </w:rPr>
            </w:pPr>
          </w:p>
          <w:p w14:paraId="31B2ED2F" w14:textId="1BF9F73C" w:rsidR="008128A9" w:rsidRPr="00920473" w:rsidRDefault="008128A9" w:rsidP="008128A9">
            <w:pPr>
              <w:rPr>
                <w:rFonts w:ascii="Arial" w:hAnsi="Arial" w:cs="Arial"/>
                <w:sz w:val="20"/>
                <w:szCs w:val="20"/>
                <w:lang w:val="en-US"/>
              </w:rPr>
            </w:pPr>
            <w:r w:rsidRPr="00920473">
              <w:rPr>
                <w:rFonts w:ascii="Arial" w:hAnsi="Arial" w:cs="Arial"/>
                <w:noProof/>
                <w:sz w:val="20"/>
                <w:szCs w:val="20"/>
              </w:rPr>
              <w:drawing>
                <wp:anchor distT="0" distB="0" distL="114300" distR="114300" simplePos="0" relativeHeight="251661312" behindDoc="0" locked="0" layoutInCell="1" allowOverlap="1" wp14:anchorId="236BF6D7" wp14:editId="396BEA99">
                  <wp:simplePos x="0" y="0"/>
                  <wp:positionH relativeFrom="column">
                    <wp:posOffset>2109</wp:posOffset>
                  </wp:positionH>
                  <wp:positionV relativeFrom="paragraph">
                    <wp:posOffset>2708</wp:posOffset>
                  </wp:positionV>
                  <wp:extent cx="363600" cy="313200"/>
                  <wp:effectExtent l="0" t="0" r="0" b="0"/>
                  <wp:wrapSquare wrapText="bothSides"/>
                  <wp:docPr id="13" name="Picture 13" descr="YES, indicated by a ti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ck.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600" cy="313200"/>
                          </a:xfrm>
                          <a:prstGeom prst="rect">
                            <a:avLst/>
                          </a:prstGeom>
                        </pic:spPr>
                      </pic:pic>
                    </a:graphicData>
                  </a:graphic>
                  <wp14:sizeRelH relativeFrom="margin">
                    <wp14:pctWidth>0</wp14:pctWidth>
                  </wp14:sizeRelH>
                  <wp14:sizeRelV relativeFrom="margin">
                    <wp14:pctHeight>0</wp14:pctHeight>
                  </wp14:sizeRelV>
                </wp:anchor>
              </w:drawing>
            </w:r>
            <w:r w:rsidR="00DF5810">
              <w:rPr>
                <w:rFonts w:ascii="Arial" w:hAnsi="Arial" w:cs="Arial"/>
                <w:noProof/>
                <w:sz w:val="20"/>
                <w:szCs w:val="20"/>
              </w:rPr>
              <w:t>This</w:t>
            </w:r>
            <w:r w:rsidRPr="00920473">
              <w:rPr>
                <w:rFonts w:ascii="Arial" w:hAnsi="Arial" w:cs="Arial"/>
                <w:sz w:val="20"/>
                <w:szCs w:val="20"/>
              </w:rPr>
              <w:t xml:space="preserve"> recommendation </w:t>
            </w:r>
            <w:r w:rsidRPr="00920473">
              <w:rPr>
                <w:rFonts w:ascii="Arial" w:hAnsi="Arial" w:cs="Arial"/>
                <w:b/>
                <w:sz w:val="20"/>
                <w:szCs w:val="20"/>
              </w:rPr>
              <w:t>was reflected</w:t>
            </w:r>
            <w:r w:rsidRPr="00920473">
              <w:rPr>
                <w:rFonts w:ascii="Arial" w:hAnsi="Arial" w:cs="Arial"/>
                <w:sz w:val="20"/>
                <w:szCs w:val="20"/>
              </w:rPr>
              <w:t xml:space="preserve"> (somewhat) in the </w:t>
            </w:r>
            <w:r w:rsidR="004618CA" w:rsidRPr="00D30004">
              <w:rPr>
                <w:rFonts w:cstheme="minorHAnsi"/>
                <w:sz w:val="20"/>
                <w:szCs w:val="20"/>
              </w:rPr>
              <w:t>released Indigenous Evaluation Strategy</w:t>
            </w:r>
            <w:r w:rsidRPr="00920473">
              <w:rPr>
                <w:rFonts w:ascii="Arial" w:hAnsi="Arial" w:cs="Arial"/>
                <w:sz w:val="20"/>
                <w:szCs w:val="20"/>
              </w:rPr>
              <w:t xml:space="preserve">. </w:t>
            </w:r>
          </w:p>
          <w:p w14:paraId="3841EA0F" w14:textId="77777777" w:rsidR="008128A9" w:rsidRPr="00920473" w:rsidRDefault="008128A9" w:rsidP="008128A9">
            <w:pPr>
              <w:rPr>
                <w:rFonts w:ascii="Arial" w:hAnsi="Arial" w:cs="Arial"/>
                <w:sz w:val="20"/>
                <w:szCs w:val="20"/>
                <w:lang w:val="en-US"/>
              </w:rPr>
            </w:pPr>
          </w:p>
          <w:p w14:paraId="53BD0DF3" w14:textId="77777777" w:rsidR="008128A9" w:rsidRPr="00BC5C54" w:rsidRDefault="008128A9" w:rsidP="008128A9">
            <w:pPr>
              <w:rPr>
                <w:rFonts w:ascii="Arial" w:hAnsi="Arial" w:cs="Arial"/>
                <w:i/>
                <w:sz w:val="20"/>
                <w:szCs w:val="20"/>
                <w:lang w:val="en-US"/>
              </w:rPr>
            </w:pPr>
            <w:r w:rsidRPr="00BC5C54">
              <w:rPr>
                <w:rFonts w:ascii="Arial" w:hAnsi="Arial" w:cs="Arial"/>
                <w:i/>
                <w:sz w:val="20"/>
                <w:szCs w:val="20"/>
                <w:u w:val="single"/>
                <w:lang w:val="en-US"/>
              </w:rPr>
              <w:t>Page 15</w:t>
            </w:r>
            <w:r w:rsidRPr="00BC5C54">
              <w:rPr>
                <w:rFonts w:ascii="Arial" w:hAnsi="Arial" w:cs="Arial"/>
                <w:i/>
                <w:sz w:val="20"/>
                <w:szCs w:val="20"/>
                <w:lang w:val="en-US"/>
              </w:rPr>
              <w:t xml:space="preserve">: </w:t>
            </w:r>
            <w:r w:rsidRPr="00BC5C54">
              <w:rPr>
                <w:rFonts w:ascii="Arial" w:hAnsi="Arial" w:cs="Arial"/>
                <w:i/>
                <w:sz w:val="20"/>
                <w:szCs w:val="20"/>
              </w:rPr>
              <w:t>Evaluation questions address issues that are important to Aboriginal and Torres Strait Islander people and other intended users of evaluation findings.</w:t>
            </w:r>
          </w:p>
        </w:tc>
      </w:tr>
      <w:tr w:rsidR="006C0AAC" w:rsidRPr="00AD6445" w14:paraId="08826B30" w14:textId="77777777" w:rsidTr="00677803">
        <w:tc>
          <w:tcPr>
            <w:tcW w:w="4531" w:type="dxa"/>
          </w:tcPr>
          <w:p w14:paraId="53B4FB70" w14:textId="77777777" w:rsidR="006C0AAC" w:rsidRPr="00AD6445" w:rsidRDefault="006C0AAC" w:rsidP="006C0AAC">
            <w:pPr>
              <w:pStyle w:val="BodyText"/>
              <w:rPr>
                <w:b/>
                <w:sz w:val="20"/>
                <w:szCs w:val="20"/>
              </w:rPr>
            </w:pPr>
            <w:r w:rsidRPr="00AD6445">
              <w:rPr>
                <w:b/>
                <w:sz w:val="20"/>
                <w:szCs w:val="20"/>
              </w:rPr>
              <w:t>Preferencing Aboriginal and Torres Strait Islander expertise, building local capacity</w:t>
            </w:r>
          </w:p>
          <w:p w14:paraId="611ECFF4" w14:textId="77777777" w:rsidR="006C0AAC" w:rsidRPr="00AD6445" w:rsidRDefault="006C0AAC" w:rsidP="006C0AAC">
            <w:pPr>
              <w:pStyle w:val="BodyText"/>
              <w:rPr>
                <w:rFonts w:ascii="Arial" w:hAnsi="Arial" w:cs="Arial"/>
                <w:sz w:val="20"/>
                <w:szCs w:val="20"/>
              </w:rPr>
            </w:pPr>
            <w:r w:rsidRPr="00AD6445">
              <w:rPr>
                <w:rFonts w:ascii="Arial" w:hAnsi="Arial" w:cs="Arial"/>
                <w:sz w:val="20"/>
                <w:szCs w:val="20"/>
              </w:rPr>
              <w:t xml:space="preserve">V2020A recommended the Strategy should prioritise local Aboriginal and Torres Strait Islander persons for delivery of key elements of evaluation processes (e.g. data collection and analysis), by increasing community involvement and drawing upon local knowledge to enhance cultural safety, local knowledge, expertise and understanding of the evaluation processes. </w:t>
            </w:r>
          </w:p>
        </w:tc>
        <w:tc>
          <w:tcPr>
            <w:tcW w:w="5097" w:type="dxa"/>
          </w:tcPr>
          <w:p w14:paraId="761C9C6D" w14:textId="77777777" w:rsidR="00920473" w:rsidRDefault="00920473" w:rsidP="006C0AAC">
            <w:pPr>
              <w:rPr>
                <w:rFonts w:ascii="Arial" w:hAnsi="Arial" w:cs="Arial"/>
                <w:sz w:val="20"/>
                <w:szCs w:val="20"/>
              </w:rPr>
            </w:pPr>
          </w:p>
          <w:p w14:paraId="42AA0B2B" w14:textId="0AEB4A84" w:rsidR="006C0AAC" w:rsidRPr="00AD6445" w:rsidRDefault="006C0AAC" w:rsidP="006C0AAC">
            <w:pPr>
              <w:rPr>
                <w:rFonts w:ascii="Arial" w:hAnsi="Arial" w:cs="Arial"/>
                <w:sz w:val="20"/>
                <w:szCs w:val="20"/>
                <w:lang w:val="en-US"/>
              </w:rPr>
            </w:pPr>
            <w:r w:rsidRPr="00AD6445">
              <w:rPr>
                <w:rFonts w:ascii="Arial" w:hAnsi="Arial" w:cs="Arial"/>
                <w:noProof/>
                <w:sz w:val="20"/>
                <w:szCs w:val="20"/>
              </w:rPr>
              <w:drawing>
                <wp:anchor distT="0" distB="0" distL="114300" distR="114300" simplePos="0" relativeHeight="251662336" behindDoc="0" locked="0" layoutInCell="1" allowOverlap="1" wp14:anchorId="3764A083" wp14:editId="24CED2B6">
                  <wp:simplePos x="0" y="0"/>
                  <wp:positionH relativeFrom="column">
                    <wp:posOffset>2109</wp:posOffset>
                  </wp:positionH>
                  <wp:positionV relativeFrom="paragraph">
                    <wp:posOffset>563</wp:posOffset>
                  </wp:positionV>
                  <wp:extent cx="363600" cy="313200"/>
                  <wp:effectExtent l="0" t="0" r="0" b="0"/>
                  <wp:wrapSquare wrapText="bothSides"/>
                  <wp:docPr id="14" name="Picture 14" descr="YES, indicated by a tic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ck.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600" cy="313200"/>
                          </a:xfrm>
                          <a:prstGeom prst="rect">
                            <a:avLst/>
                          </a:prstGeom>
                        </pic:spPr>
                      </pic:pic>
                    </a:graphicData>
                  </a:graphic>
                  <wp14:sizeRelH relativeFrom="margin">
                    <wp14:pctWidth>0</wp14:pctWidth>
                  </wp14:sizeRelH>
                  <wp14:sizeRelV relativeFrom="margin">
                    <wp14:pctHeight>0</wp14:pctHeight>
                  </wp14:sizeRelV>
                </wp:anchor>
              </w:drawing>
            </w:r>
            <w:r w:rsidR="00DF5810">
              <w:rPr>
                <w:rFonts w:ascii="Arial" w:hAnsi="Arial" w:cs="Arial"/>
                <w:sz w:val="20"/>
                <w:szCs w:val="20"/>
              </w:rPr>
              <w:t>This</w:t>
            </w:r>
            <w:r w:rsidRPr="00AD6445">
              <w:rPr>
                <w:rFonts w:ascii="Arial" w:hAnsi="Arial" w:cs="Arial"/>
                <w:sz w:val="20"/>
                <w:szCs w:val="20"/>
              </w:rPr>
              <w:t xml:space="preserve"> recommendation </w:t>
            </w:r>
            <w:r w:rsidRPr="00AD6445">
              <w:rPr>
                <w:rFonts w:ascii="Arial" w:hAnsi="Arial" w:cs="Arial"/>
                <w:b/>
                <w:sz w:val="20"/>
                <w:szCs w:val="20"/>
              </w:rPr>
              <w:t>was reflected</w:t>
            </w:r>
            <w:r w:rsidRPr="00AD6445">
              <w:rPr>
                <w:rFonts w:ascii="Arial" w:hAnsi="Arial" w:cs="Arial"/>
                <w:sz w:val="20"/>
                <w:szCs w:val="20"/>
              </w:rPr>
              <w:t xml:space="preserve"> in </w:t>
            </w:r>
            <w:r w:rsidR="004618CA" w:rsidRPr="00D30004">
              <w:rPr>
                <w:rFonts w:cstheme="minorHAnsi"/>
                <w:sz w:val="20"/>
                <w:szCs w:val="20"/>
              </w:rPr>
              <w:t>the released Indigenous Evaluation Strateg</w:t>
            </w:r>
            <w:r w:rsidR="00EA1FED" w:rsidRPr="00920473">
              <w:rPr>
                <w:rFonts w:ascii="Arial" w:hAnsi="Arial" w:cs="Arial"/>
                <w:sz w:val="20"/>
                <w:szCs w:val="20"/>
              </w:rPr>
              <w:t>y</w:t>
            </w:r>
            <w:r w:rsidRPr="00AD6445">
              <w:rPr>
                <w:rFonts w:ascii="Arial" w:hAnsi="Arial" w:cs="Arial"/>
                <w:sz w:val="20"/>
                <w:szCs w:val="20"/>
              </w:rPr>
              <w:t xml:space="preserve">. </w:t>
            </w:r>
          </w:p>
          <w:p w14:paraId="107B36FB" w14:textId="77777777" w:rsidR="006C0AAC" w:rsidRPr="00AD6445" w:rsidRDefault="006C0AAC" w:rsidP="006C0AAC">
            <w:pPr>
              <w:rPr>
                <w:rFonts w:ascii="Arial" w:hAnsi="Arial" w:cs="Arial"/>
                <w:sz w:val="20"/>
                <w:szCs w:val="20"/>
                <w:lang w:val="en-US"/>
              </w:rPr>
            </w:pPr>
          </w:p>
          <w:p w14:paraId="61F90429" w14:textId="77777777" w:rsidR="006C0AAC" w:rsidRPr="00677803" w:rsidRDefault="006C0AAC" w:rsidP="006C0AAC">
            <w:pPr>
              <w:rPr>
                <w:rFonts w:ascii="Arial" w:hAnsi="Arial" w:cs="Arial"/>
                <w:i/>
                <w:sz w:val="20"/>
                <w:szCs w:val="20"/>
                <w:lang w:val="en-US"/>
              </w:rPr>
            </w:pPr>
            <w:r w:rsidRPr="00677803">
              <w:rPr>
                <w:rFonts w:ascii="Arial" w:hAnsi="Arial" w:cs="Arial"/>
                <w:i/>
                <w:sz w:val="20"/>
                <w:szCs w:val="20"/>
                <w:u w:val="single"/>
                <w:lang w:val="en-US"/>
              </w:rPr>
              <w:t>Page 27</w:t>
            </w:r>
            <w:r w:rsidR="00AD6445" w:rsidRPr="00677803">
              <w:rPr>
                <w:rFonts w:ascii="Arial" w:hAnsi="Arial" w:cs="Arial"/>
                <w:i/>
                <w:sz w:val="20"/>
                <w:szCs w:val="20"/>
                <w:lang w:val="en-US"/>
              </w:rPr>
              <w:t xml:space="preserve">: </w:t>
            </w:r>
            <w:r w:rsidR="00AD6445" w:rsidRPr="00677803">
              <w:rPr>
                <w:rFonts w:ascii="Arial" w:hAnsi="Arial" w:cs="Arial"/>
                <w:i/>
                <w:sz w:val="20"/>
                <w:szCs w:val="20"/>
                <w:u w:val="single"/>
                <w:lang w:val="en-US"/>
              </w:rPr>
              <w:t>(</w:t>
            </w:r>
            <w:r w:rsidRPr="00677803">
              <w:rPr>
                <w:rFonts w:ascii="Arial" w:hAnsi="Arial" w:cs="Arial"/>
                <w:i/>
                <w:sz w:val="20"/>
                <w:szCs w:val="20"/>
                <w:lang w:val="en-US"/>
              </w:rPr>
              <w:t>Action 6</w:t>
            </w:r>
            <w:r w:rsidR="00AD6445" w:rsidRPr="00677803">
              <w:rPr>
                <w:rFonts w:ascii="Arial" w:hAnsi="Arial" w:cs="Arial"/>
                <w:i/>
                <w:sz w:val="20"/>
                <w:szCs w:val="20"/>
                <w:lang w:val="en-US"/>
              </w:rPr>
              <w:t xml:space="preserve">) </w:t>
            </w:r>
            <w:r w:rsidRPr="00677803">
              <w:rPr>
                <w:rFonts w:ascii="Arial" w:hAnsi="Arial" w:cs="Arial"/>
                <w:i/>
                <w:sz w:val="20"/>
                <w:szCs w:val="20"/>
              </w:rPr>
              <w:t>Agencies should strengthen and support Aboriginal and Torres Strait Islander people’s capability to engage, partner and lead in evaluation.</w:t>
            </w:r>
          </w:p>
          <w:p w14:paraId="1F9C137C" w14:textId="77777777" w:rsidR="006C0AAC" w:rsidRDefault="006C0AAC" w:rsidP="006C0AAC">
            <w:pPr>
              <w:rPr>
                <w:rFonts w:ascii="Arial" w:hAnsi="Arial" w:cs="Arial"/>
                <w:i/>
                <w:sz w:val="20"/>
                <w:szCs w:val="20"/>
              </w:rPr>
            </w:pPr>
            <w:r w:rsidRPr="00677803">
              <w:rPr>
                <w:rFonts w:ascii="Arial" w:hAnsi="Arial" w:cs="Arial"/>
                <w:i/>
                <w:sz w:val="20"/>
                <w:szCs w:val="20"/>
              </w:rPr>
              <w:t>Working with Aboriginal and Torres Strait Islander people, organisations and communities to strengthen evaluation capability, including by engaging Aboriginal and Torres Strait Islander evaluators and community researchers and providing training and development opportunities.</w:t>
            </w:r>
          </w:p>
          <w:p w14:paraId="292195F4" w14:textId="3C1F80C7" w:rsidR="0082525D" w:rsidRPr="00AD6445" w:rsidRDefault="0082525D" w:rsidP="006C0AAC">
            <w:pPr>
              <w:rPr>
                <w:rFonts w:ascii="Arial" w:hAnsi="Arial" w:cs="Arial"/>
                <w:b/>
                <w:i/>
                <w:sz w:val="20"/>
                <w:szCs w:val="20"/>
              </w:rPr>
            </w:pPr>
          </w:p>
        </w:tc>
        <w:bookmarkStart w:id="0" w:name="_GoBack"/>
        <w:bookmarkEnd w:id="0"/>
      </w:tr>
      <w:tr w:rsidR="006C0AAC" w:rsidRPr="00CB3D9B" w14:paraId="4C3061EA" w14:textId="77777777" w:rsidTr="00677803">
        <w:tc>
          <w:tcPr>
            <w:tcW w:w="4531" w:type="dxa"/>
          </w:tcPr>
          <w:p w14:paraId="0E56D719" w14:textId="77777777" w:rsidR="006C0AAC" w:rsidRPr="00CB3D9B" w:rsidRDefault="006C0AAC" w:rsidP="00CB3D9B">
            <w:pPr>
              <w:pStyle w:val="BodyText"/>
              <w:rPr>
                <w:b/>
                <w:sz w:val="20"/>
                <w:szCs w:val="20"/>
              </w:rPr>
            </w:pPr>
            <w:r w:rsidRPr="00CB3D9B">
              <w:rPr>
                <w:b/>
                <w:sz w:val="20"/>
                <w:szCs w:val="20"/>
              </w:rPr>
              <w:t>Maximising the potential for a systems approach</w:t>
            </w:r>
          </w:p>
          <w:p w14:paraId="34869893" w14:textId="77777777" w:rsidR="006C0AAC" w:rsidRPr="00CB3D9B" w:rsidRDefault="006C0AAC" w:rsidP="006C0AAC">
            <w:pPr>
              <w:pStyle w:val="BodyText"/>
              <w:rPr>
                <w:rFonts w:ascii="Arial" w:hAnsi="Arial" w:cs="Arial"/>
                <w:sz w:val="20"/>
                <w:szCs w:val="20"/>
              </w:rPr>
            </w:pPr>
            <w:r w:rsidRPr="00CB3D9B">
              <w:rPr>
                <w:rFonts w:ascii="Arial" w:hAnsi="Arial" w:cs="Arial"/>
                <w:sz w:val="20"/>
                <w:szCs w:val="20"/>
              </w:rPr>
              <w:t xml:space="preserve">V2020A strongly supported the proposed establishment of an Indigenous evaluation clearing house, to make evaluation reports readily available. </w:t>
            </w:r>
          </w:p>
        </w:tc>
        <w:tc>
          <w:tcPr>
            <w:tcW w:w="5097" w:type="dxa"/>
          </w:tcPr>
          <w:p w14:paraId="2A98059D" w14:textId="77777777" w:rsidR="00920473" w:rsidRDefault="00920473" w:rsidP="006C0AAC">
            <w:pPr>
              <w:rPr>
                <w:rFonts w:ascii="Arial" w:hAnsi="Arial" w:cs="Arial"/>
                <w:sz w:val="20"/>
                <w:szCs w:val="20"/>
              </w:rPr>
            </w:pPr>
          </w:p>
          <w:p w14:paraId="251C1315" w14:textId="1001663D" w:rsidR="006C0AAC" w:rsidRPr="00CB3D9B" w:rsidRDefault="006C0AAC" w:rsidP="006C0AAC">
            <w:pPr>
              <w:rPr>
                <w:rFonts w:ascii="Arial" w:hAnsi="Arial" w:cs="Arial"/>
                <w:sz w:val="20"/>
                <w:szCs w:val="20"/>
                <w:lang w:val="en-US"/>
              </w:rPr>
            </w:pPr>
            <w:r w:rsidRPr="00CB3D9B">
              <w:rPr>
                <w:rFonts w:ascii="Arial" w:hAnsi="Arial" w:cs="Arial"/>
                <w:noProof/>
                <w:sz w:val="20"/>
                <w:szCs w:val="20"/>
              </w:rPr>
              <w:drawing>
                <wp:anchor distT="0" distB="0" distL="114300" distR="114300" simplePos="0" relativeHeight="251663360" behindDoc="0" locked="0" layoutInCell="1" allowOverlap="1" wp14:anchorId="6F8465AF" wp14:editId="453DD7E5">
                  <wp:simplePos x="0" y="0"/>
                  <wp:positionH relativeFrom="column">
                    <wp:posOffset>2109</wp:posOffset>
                  </wp:positionH>
                  <wp:positionV relativeFrom="paragraph">
                    <wp:posOffset>216</wp:posOffset>
                  </wp:positionV>
                  <wp:extent cx="363600" cy="313200"/>
                  <wp:effectExtent l="0" t="0" r="0" b="0"/>
                  <wp:wrapSquare wrapText="bothSides"/>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ck.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600" cy="313200"/>
                          </a:xfrm>
                          <a:prstGeom prst="rect">
                            <a:avLst/>
                          </a:prstGeom>
                        </pic:spPr>
                      </pic:pic>
                    </a:graphicData>
                  </a:graphic>
                  <wp14:sizeRelH relativeFrom="margin">
                    <wp14:pctWidth>0</wp14:pctWidth>
                  </wp14:sizeRelH>
                  <wp14:sizeRelV relativeFrom="margin">
                    <wp14:pctHeight>0</wp14:pctHeight>
                  </wp14:sizeRelV>
                </wp:anchor>
              </w:drawing>
            </w:r>
            <w:r w:rsidR="00DF5810">
              <w:rPr>
                <w:rFonts w:ascii="Arial" w:hAnsi="Arial" w:cs="Arial"/>
                <w:noProof/>
                <w:sz w:val="20"/>
                <w:szCs w:val="20"/>
              </w:rPr>
              <w:t>This</w:t>
            </w:r>
            <w:r w:rsidRPr="00CB3D9B">
              <w:rPr>
                <w:rFonts w:ascii="Arial" w:hAnsi="Arial" w:cs="Arial"/>
                <w:sz w:val="20"/>
                <w:szCs w:val="20"/>
              </w:rPr>
              <w:t xml:space="preserve"> recommendation </w:t>
            </w:r>
            <w:r w:rsidRPr="00CB3D9B">
              <w:rPr>
                <w:rFonts w:ascii="Arial" w:hAnsi="Arial" w:cs="Arial"/>
                <w:b/>
                <w:sz w:val="20"/>
                <w:szCs w:val="20"/>
              </w:rPr>
              <w:t>was reflected</w:t>
            </w:r>
            <w:r w:rsidRPr="00CB3D9B">
              <w:rPr>
                <w:rFonts w:ascii="Arial" w:hAnsi="Arial" w:cs="Arial"/>
                <w:sz w:val="20"/>
                <w:szCs w:val="20"/>
              </w:rPr>
              <w:t xml:space="preserve"> in </w:t>
            </w:r>
            <w:r w:rsidR="004618CA" w:rsidRPr="00D30004">
              <w:rPr>
                <w:rFonts w:cstheme="minorHAnsi"/>
                <w:sz w:val="20"/>
                <w:szCs w:val="20"/>
              </w:rPr>
              <w:t>the released Indigenous Evaluation Strategy</w:t>
            </w:r>
            <w:r w:rsidRPr="00CB3D9B">
              <w:rPr>
                <w:rFonts w:ascii="Arial" w:hAnsi="Arial" w:cs="Arial"/>
                <w:sz w:val="20"/>
                <w:szCs w:val="20"/>
              </w:rPr>
              <w:t xml:space="preserve">. </w:t>
            </w:r>
          </w:p>
          <w:p w14:paraId="4114C533" w14:textId="77777777" w:rsidR="006C0AAC" w:rsidRPr="00CB3D9B" w:rsidRDefault="006C0AAC" w:rsidP="006C0AAC">
            <w:pPr>
              <w:rPr>
                <w:rFonts w:ascii="Arial" w:hAnsi="Arial" w:cs="Arial"/>
                <w:sz w:val="20"/>
                <w:szCs w:val="20"/>
                <w:u w:val="single"/>
              </w:rPr>
            </w:pPr>
          </w:p>
          <w:p w14:paraId="54DE14AF" w14:textId="77777777" w:rsidR="006C0AAC" w:rsidRDefault="006C0AAC" w:rsidP="006C0AAC">
            <w:pPr>
              <w:rPr>
                <w:sz w:val="20"/>
                <w:szCs w:val="20"/>
              </w:rPr>
            </w:pPr>
            <w:r w:rsidRPr="00677803">
              <w:rPr>
                <w:rFonts w:ascii="Arial" w:hAnsi="Arial" w:cs="Arial"/>
                <w:i/>
                <w:sz w:val="20"/>
                <w:szCs w:val="20"/>
                <w:u w:val="single"/>
              </w:rPr>
              <w:t>Page 28:</w:t>
            </w:r>
            <w:r w:rsidRPr="00677803">
              <w:rPr>
                <w:rFonts w:ascii="Arial" w:hAnsi="Arial" w:cs="Arial"/>
                <w:i/>
                <w:sz w:val="20"/>
                <w:szCs w:val="20"/>
              </w:rPr>
              <w:t xml:space="preserve"> </w:t>
            </w:r>
            <w:r w:rsidR="00CB3D9B" w:rsidRPr="00677803">
              <w:rPr>
                <w:rFonts w:ascii="Arial" w:hAnsi="Arial" w:cs="Arial"/>
                <w:i/>
                <w:sz w:val="20"/>
                <w:szCs w:val="20"/>
              </w:rPr>
              <w:t>(</w:t>
            </w:r>
            <w:r w:rsidRPr="00677803">
              <w:rPr>
                <w:rFonts w:ascii="Arial" w:hAnsi="Arial" w:cs="Arial"/>
                <w:i/>
                <w:sz w:val="20"/>
                <w:szCs w:val="20"/>
              </w:rPr>
              <w:t>Action 10</w:t>
            </w:r>
            <w:r w:rsidR="00CB3D9B" w:rsidRPr="00677803">
              <w:rPr>
                <w:rFonts w:ascii="Arial" w:hAnsi="Arial" w:cs="Arial"/>
                <w:i/>
                <w:sz w:val="20"/>
                <w:szCs w:val="20"/>
              </w:rPr>
              <w:t xml:space="preserve">) </w:t>
            </w:r>
            <w:r w:rsidR="0090286B" w:rsidRPr="00677803">
              <w:rPr>
                <w:sz w:val="20"/>
                <w:szCs w:val="20"/>
              </w:rPr>
              <w:t>The Australian Government should establish and maintain an online evaluation evidence clearinghouse — the Indigenous Evaluation Clearinghouse — as a repository for reports of evaluations of policies and programs affecting Aboriginal and Torres Strait Islander people.</w:t>
            </w:r>
          </w:p>
          <w:p w14:paraId="66CC71A3" w14:textId="77777777" w:rsidR="00677803" w:rsidRPr="00677803" w:rsidRDefault="00677803" w:rsidP="006C0AAC">
            <w:pPr>
              <w:rPr>
                <w:rFonts w:ascii="Arial" w:hAnsi="Arial" w:cs="Arial"/>
                <w:i/>
                <w:sz w:val="20"/>
                <w:szCs w:val="20"/>
              </w:rPr>
            </w:pPr>
          </w:p>
        </w:tc>
      </w:tr>
    </w:tbl>
    <w:p w14:paraId="772936D4" w14:textId="77777777" w:rsidR="00DF41E0" w:rsidRDefault="00DF41E0" w:rsidP="003D2F59">
      <w:pPr>
        <w:pStyle w:val="Heading1"/>
      </w:pPr>
    </w:p>
    <w:p w14:paraId="032967A5" w14:textId="77777777" w:rsidR="00DF41E0" w:rsidRPr="00240E02" w:rsidRDefault="00DF41E0" w:rsidP="00DF41E0">
      <w:pPr>
        <w:rPr>
          <w:rFonts w:ascii="Arial" w:hAnsi="Arial" w:cs="Arial"/>
          <w:sz w:val="20"/>
          <w:szCs w:val="20"/>
          <w:lang w:val="en-US"/>
        </w:rPr>
      </w:pPr>
    </w:p>
    <w:p w14:paraId="6679C588" w14:textId="77777777" w:rsidR="000B2062" w:rsidRPr="000B2062" w:rsidRDefault="000B2062" w:rsidP="000B2062">
      <w:pPr>
        <w:pStyle w:val="BodyText"/>
      </w:pPr>
    </w:p>
    <w:sectPr w:rsidR="000B2062" w:rsidRPr="000B2062" w:rsidSect="00E61FE7">
      <w:footerReference w:type="default" r:id="rId13"/>
      <w:headerReference w:type="first" r:id="rId14"/>
      <w:footerReference w:type="first" r:id="rId15"/>
      <w:pgSz w:w="11906" w:h="16838" w:code="9"/>
      <w:pgMar w:top="2268" w:right="1134"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7F210" w14:textId="77777777" w:rsidR="00867E9D" w:rsidRDefault="00867E9D" w:rsidP="00185154">
      <w:r>
        <w:separator/>
      </w:r>
    </w:p>
    <w:p w14:paraId="499E1306" w14:textId="77777777" w:rsidR="00867E9D" w:rsidRDefault="00867E9D"/>
  </w:endnote>
  <w:endnote w:type="continuationSeparator" w:id="0">
    <w:p w14:paraId="274BA104" w14:textId="77777777" w:rsidR="00867E9D" w:rsidRDefault="00867E9D" w:rsidP="00185154">
      <w:r>
        <w:continuationSeparator/>
      </w:r>
    </w:p>
    <w:p w14:paraId="1B6CE6A1" w14:textId="77777777" w:rsidR="00867E9D" w:rsidRDefault="00867E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05264" w14:textId="171CD176" w:rsidR="00E960A6" w:rsidRPr="00E960A6" w:rsidRDefault="00867E9D" w:rsidP="00E960A6">
    <w:pPr>
      <w:pStyle w:val="Footer"/>
      <w:tabs>
        <w:tab w:val="clear" w:pos="567"/>
        <w:tab w:val="clear" w:pos="9639"/>
      </w:tabs>
    </w:pPr>
    <w:sdt>
      <w:sdtPr>
        <w:alias w:val="Publish Date"/>
        <w:tag w:val=""/>
        <w:id w:val="-1541268186"/>
        <w:placeholder>
          <w:docPart w:val="6C849A9E5FEC48238A2C5A46EA414B29"/>
        </w:placeholder>
        <w:dataBinding w:prefixMappings="xmlns:ns0='http://schemas.microsoft.com/office/2006/coverPageProps' " w:xpath="/ns0:CoverPageProperties[1]/ns0:PublishDate[1]" w:storeItemID="{55AF091B-3C7A-41E3-B477-F2FDAA23CFDA}"/>
        <w:date w:fullDate="2020-10-30T00:00:00Z">
          <w:dateFormat w:val="dd/MM/yyyy"/>
          <w:lid w:val="en-AU"/>
          <w:storeMappedDataAs w:val="dateTime"/>
          <w:calendar w:val="gregorian"/>
        </w:date>
      </w:sdtPr>
      <w:sdtEndPr/>
      <w:sdtContent>
        <w:r w:rsidR="00677803">
          <w:t>30/10/2020</w:t>
        </w:r>
      </w:sdtContent>
    </w:sdt>
    <w:r w:rsidR="00E960A6">
      <w:t xml:space="preserve">    </w:t>
    </w:r>
    <w:sdt>
      <w:sdtPr>
        <w:alias w:val="Item number"/>
        <w:tag w:val="Subject"/>
        <w:id w:val="1376423236"/>
        <w:dataBinding w:prefixMappings="xmlns:ns0='http://purl.org/dc/elements/1.1/' xmlns:ns1='http://schemas.openxmlformats.org/package/2006/metadata/core-properties' " w:xpath="/ns1:coreProperties[1]/ns0:subject[1]" w:storeItemID="{6C3C8BC8-F283-45AE-878A-BAB7291924A1}"/>
        <w:text/>
      </w:sdtPr>
      <w:sdtEndPr/>
      <w:sdtContent>
        <w:r w:rsidR="00CA2945">
          <w:t>Productivity Commission Indigenous Evaluation Strategy</w:t>
        </w:r>
      </w:sdtContent>
    </w:sdt>
    <w:r w:rsidR="00660796" w:rsidRPr="00660796">
      <w:t xml:space="preserve"> </w:t>
    </w:r>
    <w:sdt>
      <w:sdtPr>
        <w:alias w:val="Title"/>
        <w:tag w:val=""/>
        <w:id w:val="-904530346"/>
        <w:showingPlcHdr/>
        <w:dataBinding w:prefixMappings="xmlns:ns0='http://purl.org/dc/elements/1.1/' xmlns:ns1='http://schemas.openxmlformats.org/package/2006/metadata/core-properties' " w:xpath="/ns1:coreProperties[1]/ns0:title[1]" w:storeItemID="{6C3C8BC8-F283-45AE-878A-BAB7291924A1}"/>
        <w:text/>
      </w:sdtPr>
      <w:sdtEndPr/>
      <w:sdtContent>
        <w:r w:rsidR="00BD1F53">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6FA44" w14:textId="6E843EF8" w:rsidR="001671EC" w:rsidRPr="00E960A6" w:rsidRDefault="00867E9D" w:rsidP="00E960A6">
    <w:pPr>
      <w:pStyle w:val="Footer"/>
      <w:tabs>
        <w:tab w:val="clear" w:pos="567"/>
        <w:tab w:val="clear" w:pos="9639"/>
      </w:tabs>
    </w:pPr>
    <w:sdt>
      <w:sdtPr>
        <w:alias w:val="Publish Date"/>
        <w:tag w:val=""/>
        <w:id w:val="-1751574844"/>
        <w:placeholder>
          <w:docPart w:val="B89B9657124C4DE3839DF92E3AD48968"/>
        </w:placeholder>
        <w:dataBinding w:prefixMappings="xmlns:ns0='http://schemas.microsoft.com/office/2006/coverPageProps' " w:xpath="/ns0:CoverPageProperties[1]/ns0:PublishDate[1]" w:storeItemID="{55AF091B-3C7A-41E3-B477-F2FDAA23CFDA}"/>
        <w:date w:fullDate="2020-10-30T00:00:00Z">
          <w:dateFormat w:val="dd/MM/yyyy"/>
          <w:lid w:val="en-AU"/>
          <w:storeMappedDataAs w:val="dateTime"/>
          <w:calendar w:val="gregorian"/>
        </w:date>
      </w:sdtPr>
      <w:sdtEndPr/>
      <w:sdtContent>
        <w:r w:rsidR="00677803">
          <w:t>30/10/2020</w:t>
        </w:r>
      </w:sdtContent>
    </w:sdt>
    <w:r w:rsidR="00E960A6">
      <w:t xml:space="preserve">    </w:t>
    </w:r>
    <w:sdt>
      <w:sdtPr>
        <w:alias w:val="Item number"/>
        <w:tag w:val="Subject"/>
        <w:id w:val="-1238247917"/>
        <w:dataBinding w:prefixMappings="xmlns:ns0='http://purl.org/dc/elements/1.1/' xmlns:ns1='http://schemas.openxmlformats.org/package/2006/metadata/core-properties' " w:xpath="/ns1:coreProperties[1]/ns0:subject[1]" w:storeItemID="{6C3C8BC8-F283-45AE-878A-BAB7291924A1}"/>
        <w:text/>
      </w:sdtPr>
      <w:sdtEndPr/>
      <w:sdtContent>
        <w:r w:rsidR="00BD1F53">
          <w:t>Productivity Commission Indigenous Evaluation Strategy</w:t>
        </w:r>
      </w:sdtContent>
    </w:sdt>
    <w:r w:rsidR="00660796" w:rsidRPr="00660796">
      <w:t xml:space="preserve"> </w:t>
    </w:r>
    <w:sdt>
      <w:sdtPr>
        <w:alias w:val="Title"/>
        <w:tag w:val=""/>
        <w:id w:val="-105121617"/>
        <w:showingPlcHdr/>
        <w:dataBinding w:prefixMappings="xmlns:ns0='http://purl.org/dc/elements/1.1/' xmlns:ns1='http://schemas.openxmlformats.org/package/2006/metadata/core-properties' " w:xpath="/ns1:coreProperties[1]/ns0:title[1]" w:storeItemID="{6C3C8BC8-F283-45AE-878A-BAB7291924A1}"/>
        <w:text/>
      </w:sdtPr>
      <w:sdtEndPr/>
      <w:sdtContent>
        <w:r w:rsidR="00BC06EC">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1E13D" w14:textId="77777777" w:rsidR="00867E9D" w:rsidRDefault="00867E9D" w:rsidP="00185154">
      <w:r>
        <w:separator/>
      </w:r>
    </w:p>
    <w:p w14:paraId="63DA9FB9" w14:textId="77777777" w:rsidR="00867E9D" w:rsidRDefault="00867E9D"/>
  </w:footnote>
  <w:footnote w:type="continuationSeparator" w:id="0">
    <w:p w14:paraId="7181CFAB" w14:textId="77777777" w:rsidR="00867E9D" w:rsidRDefault="00867E9D" w:rsidP="00185154">
      <w:r>
        <w:continuationSeparator/>
      </w:r>
    </w:p>
    <w:p w14:paraId="1C08D8CC" w14:textId="77777777" w:rsidR="00867E9D" w:rsidRDefault="00867E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F06EF" w14:textId="77777777" w:rsidR="00251B21" w:rsidRDefault="002E76B0" w:rsidP="00251B21">
    <w:pPr>
      <w:pStyle w:val="Header"/>
      <w:jc w:val="right"/>
    </w:pPr>
    <w:r>
      <w:rPr>
        <w:noProof/>
      </w:rPr>
      <w:drawing>
        <wp:inline distT="0" distB="0" distL="0" distR="0" wp14:anchorId="7D602939" wp14:editId="6D1A7A66">
          <wp:extent cx="739445" cy="1095068"/>
          <wp:effectExtent l="0" t="0" r="3810" b="0"/>
          <wp:docPr id="5" name="Picture 5" descr="Vision 2020 The Right to Sight Australia &#10;Celebrating 20 years of Vi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745873" cy="11045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33E193A"/>
    <w:multiLevelType w:val="multilevel"/>
    <w:tmpl w:val="A212FCEE"/>
    <w:numStyleLink w:val="ListNumberedHeadings"/>
  </w:abstractNum>
  <w:abstractNum w:abstractNumId="2" w15:restartNumberingAfterBreak="0">
    <w:nsid w:val="05E95DCC"/>
    <w:multiLevelType w:val="multilevel"/>
    <w:tmpl w:val="A212FCEE"/>
    <w:numStyleLink w:val="ListNumberedHeadings"/>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11E76BF1"/>
    <w:multiLevelType w:val="multilevel"/>
    <w:tmpl w:val="BDFC207A"/>
    <w:numStyleLink w:val="ListTableNumber"/>
  </w:abstractNum>
  <w:abstractNum w:abstractNumId="8"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C035E44"/>
    <w:multiLevelType w:val="multilevel"/>
    <w:tmpl w:val="1556E92C"/>
    <w:numStyleLink w:val="ListAttachment"/>
  </w:abstractNum>
  <w:abstractNum w:abstractNumId="10" w15:restartNumberingAfterBreak="0">
    <w:nsid w:val="1E543D48"/>
    <w:multiLevelType w:val="multilevel"/>
    <w:tmpl w:val="1556E92C"/>
    <w:numStyleLink w:val="ListAttachment"/>
  </w:abstractNum>
  <w:abstractNum w:abstractNumId="11" w15:restartNumberingAfterBreak="0">
    <w:nsid w:val="2222299A"/>
    <w:multiLevelType w:val="multilevel"/>
    <w:tmpl w:val="626C565E"/>
    <w:numStyleLink w:val="ListTableBullet"/>
  </w:abstractNum>
  <w:abstractNum w:abstractNumId="12"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3" w15:restartNumberingAfterBreak="0">
    <w:nsid w:val="26FA6E39"/>
    <w:multiLevelType w:val="multilevel"/>
    <w:tmpl w:val="A212FCEE"/>
    <w:numStyleLink w:val="ListNumberedHeadings"/>
  </w:abstractNum>
  <w:abstractNum w:abstractNumId="14" w15:restartNumberingAfterBreak="0">
    <w:nsid w:val="2FBA2AC5"/>
    <w:multiLevelType w:val="multilevel"/>
    <w:tmpl w:val="1556E92C"/>
    <w:numStyleLink w:val="ListAttachment"/>
  </w:abstractNum>
  <w:abstractNum w:abstractNumId="15"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6" w15:restartNumberingAfterBreak="0">
    <w:nsid w:val="354710BC"/>
    <w:multiLevelType w:val="multilevel"/>
    <w:tmpl w:val="A212FCEE"/>
    <w:numStyleLink w:val="ListNumberedHeadings"/>
  </w:abstractNum>
  <w:abstractNum w:abstractNumId="17" w15:restartNumberingAfterBreak="0">
    <w:nsid w:val="366E6290"/>
    <w:multiLevelType w:val="multilevel"/>
    <w:tmpl w:val="BDFC207A"/>
    <w:numStyleLink w:val="ListTableNumber"/>
  </w:abstractNum>
  <w:abstractNum w:abstractNumId="18"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9" w15:restartNumberingAfterBreak="0">
    <w:nsid w:val="42FE4702"/>
    <w:multiLevelType w:val="multilevel"/>
    <w:tmpl w:val="1556E92C"/>
    <w:numStyleLink w:val="ListAttachment"/>
  </w:abstractNum>
  <w:abstractNum w:abstractNumId="20"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E4C6D54"/>
    <w:multiLevelType w:val="multilevel"/>
    <w:tmpl w:val="A212FCEE"/>
    <w:numStyleLink w:val="ListNumberedHeadings"/>
  </w:abstractNum>
  <w:abstractNum w:abstractNumId="22" w15:restartNumberingAfterBreak="0">
    <w:nsid w:val="570639FB"/>
    <w:multiLevelType w:val="multilevel"/>
    <w:tmpl w:val="279CF11E"/>
    <w:numStyleLink w:val="ListBullet"/>
  </w:abstractNum>
  <w:abstractNum w:abstractNumId="23" w15:restartNumberingAfterBreak="0">
    <w:nsid w:val="5DB0627A"/>
    <w:multiLevelType w:val="multilevel"/>
    <w:tmpl w:val="626C565E"/>
    <w:numStyleLink w:val="ListTableBullet"/>
  </w:abstractNum>
  <w:abstractNum w:abstractNumId="24" w15:restartNumberingAfterBreak="0">
    <w:nsid w:val="5F405511"/>
    <w:multiLevelType w:val="multilevel"/>
    <w:tmpl w:val="A212FCEE"/>
    <w:numStyleLink w:val="ListNumberedHeadings"/>
  </w:abstractNum>
  <w:abstractNum w:abstractNumId="25"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6" w15:restartNumberingAfterBreak="0">
    <w:nsid w:val="64C64ED5"/>
    <w:multiLevelType w:val="multilevel"/>
    <w:tmpl w:val="A212FCEE"/>
    <w:numStyleLink w:val="ListNumberedHeadings"/>
  </w:abstractNum>
  <w:abstractNum w:abstractNumId="27" w15:restartNumberingAfterBreak="0">
    <w:nsid w:val="665C115C"/>
    <w:multiLevelType w:val="multilevel"/>
    <w:tmpl w:val="626C565E"/>
    <w:numStyleLink w:val="ListTableBullet"/>
  </w:abstractNum>
  <w:abstractNum w:abstractNumId="28" w15:restartNumberingAfterBreak="0">
    <w:nsid w:val="7139706E"/>
    <w:multiLevelType w:val="multilevel"/>
    <w:tmpl w:val="11C64328"/>
    <w:numStyleLink w:val="ListParagraph"/>
  </w:abstractNum>
  <w:abstractNum w:abstractNumId="29" w15:restartNumberingAfterBreak="0">
    <w:nsid w:val="7870203F"/>
    <w:multiLevelType w:val="multilevel"/>
    <w:tmpl w:val="A212FCEE"/>
    <w:numStyleLink w:val="ListNumberedHeadings"/>
  </w:abstractNum>
  <w:abstractNum w:abstractNumId="30" w15:restartNumberingAfterBreak="0">
    <w:nsid w:val="7C1A461F"/>
    <w:multiLevelType w:val="multilevel"/>
    <w:tmpl w:val="1556E92C"/>
    <w:numStyleLink w:val="ListAttachment"/>
  </w:abstractNum>
  <w:abstractNum w:abstractNumId="31" w15:restartNumberingAfterBreak="0">
    <w:nsid w:val="7E0F5F26"/>
    <w:multiLevelType w:val="multilevel"/>
    <w:tmpl w:val="D13A4360"/>
    <w:lvl w:ilvl="0">
      <w:start w:val="1"/>
      <w:numFmt w:val="upperLetter"/>
      <w:lvlRestart w:val="0"/>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1"/>
  </w:num>
  <w:num w:numId="2">
    <w:abstractNumId w:val="18"/>
  </w:num>
  <w:num w:numId="3">
    <w:abstractNumId w:val="0"/>
  </w:num>
  <w:num w:numId="4">
    <w:abstractNumId w:val="5"/>
  </w:num>
  <w:num w:numId="5">
    <w:abstractNumId w:val="25"/>
  </w:num>
  <w:num w:numId="6">
    <w:abstractNumId w:val="28"/>
  </w:num>
  <w:num w:numId="7">
    <w:abstractNumId w:val="17"/>
  </w:num>
  <w:num w:numId="8">
    <w:abstractNumId w:val="27"/>
  </w:num>
  <w:num w:numId="9">
    <w:abstractNumId w:val="26"/>
  </w:num>
  <w:num w:numId="10">
    <w:abstractNumId w:val="3"/>
  </w:num>
  <w:num w:numId="11">
    <w:abstractNumId w:val="15"/>
  </w:num>
  <w:num w:numId="12">
    <w:abstractNumId w:val="12"/>
  </w:num>
  <w:num w:numId="13">
    <w:abstractNumId w:val="6"/>
  </w:num>
  <w:num w:numId="14">
    <w:abstractNumId w:val="20"/>
  </w:num>
  <w:num w:numId="15">
    <w:abstractNumId w:val="1"/>
  </w:num>
  <w:num w:numId="16">
    <w:abstractNumId w:val="8"/>
  </w:num>
  <w:num w:numId="17">
    <w:abstractNumId w:val="24"/>
  </w:num>
  <w:num w:numId="18">
    <w:abstractNumId w:val="11"/>
  </w:num>
  <w:num w:numId="19">
    <w:abstractNumId w:val="7"/>
  </w:num>
  <w:num w:numId="20">
    <w:abstractNumId w:val="2"/>
  </w:num>
  <w:num w:numId="21">
    <w:abstractNumId w:val="13"/>
  </w:num>
  <w:num w:numId="22">
    <w:abstractNumId w:val="26"/>
    <w:lvlOverride w:ilvl="0">
      <w:lvl w:ilvl="0">
        <w:start w:val="1"/>
        <w:numFmt w:val="decimal"/>
        <w:lvlText w:val="%1"/>
        <w:lvlJc w:val="left"/>
        <w:pPr>
          <w:tabs>
            <w:tab w:val="num" w:pos="567"/>
          </w:tabs>
          <w:ind w:left="567" w:hanging="567"/>
        </w:pPr>
        <w:rPr>
          <w:rFonts w:ascii="Trebuchet MS" w:hAnsi="Trebuchet MS" w:hint="default"/>
          <w:b/>
          <w:color w:val="auto"/>
          <w:sz w:val="22"/>
          <w:szCs w:val="24"/>
        </w:rPr>
      </w:lvl>
    </w:lvlOverride>
  </w:num>
  <w:num w:numId="23">
    <w:abstractNumId w:val="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num>
  <w:num w:numId="27">
    <w:abstractNumId w:val="19"/>
  </w:num>
  <w:num w:numId="28">
    <w:abstractNumId w:val="9"/>
  </w:num>
  <w:num w:numId="29">
    <w:abstractNumId w:val="30"/>
  </w:num>
  <w:num w:numId="30">
    <w:abstractNumId w:val="22"/>
  </w:num>
  <w:num w:numId="31">
    <w:abstractNumId w:val="22"/>
  </w:num>
  <w:num w:numId="32">
    <w:abstractNumId w:val="22"/>
  </w:num>
  <w:num w:numId="33">
    <w:abstractNumId w:val="22"/>
  </w:num>
  <w:num w:numId="34">
    <w:abstractNumId w:val="22"/>
  </w:num>
  <w:num w:numId="35">
    <w:abstractNumId w:val="22"/>
  </w:num>
  <w:num w:numId="36">
    <w:abstractNumId w:val="15"/>
  </w:num>
  <w:num w:numId="37">
    <w:abstractNumId w:val="5"/>
  </w:num>
  <w:num w:numId="38">
    <w:abstractNumId w:val="23"/>
  </w:num>
  <w:num w:numId="39">
    <w:abstractNumId w:val="23"/>
  </w:num>
  <w:num w:numId="40">
    <w:abstractNumId w:val="21"/>
  </w:num>
  <w:num w:numId="41">
    <w:abstractNumId w:val="16"/>
  </w:num>
  <w:num w:numId="42">
    <w:abstractNumId w:val="18"/>
  </w:num>
  <w:num w:numId="43">
    <w:abstractNumId w:val="29"/>
  </w:num>
  <w:num w:numId="44">
    <w:abstractNumId w:val="29"/>
  </w:num>
  <w:num w:numId="45">
    <w:abstractNumId w:val="29"/>
  </w:num>
  <w:num w:numId="46">
    <w:abstractNumId w:val="18"/>
  </w:num>
  <w:num w:numId="47">
    <w:abstractNumId w:val="29"/>
  </w:num>
  <w:num w:numId="48">
    <w:abstractNumId w:val="29"/>
  </w:num>
  <w:num w:numId="49">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E0"/>
    <w:rsid w:val="00001931"/>
    <w:rsid w:val="00006100"/>
    <w:rsid w:val="000358CA"/>
    <w:rsid w:val="000427B8"/>
    <w:rsid w:val="00054793"/>
    <w:rsid w:val="00065EA6"/>
    <w:rsid w:val="00071C7D"/>
    <w:rsid w:val="00076F97"/>
    <w:rsid w:val="00081B64"/>
    <w:rsid w:val="000870BB"/>
    <w:rsid w:val="00087D93"/>
    <w:rsid w:val="000973AC"/>
    <w:rsid w:val="000A54D7"/>
    <w:rsid w:val="000B2062"/>
    <w:rsid w:val="000B3EBE"/>
    <w:rsid w:val="000B6FA1"/>
    <w:rsid w:val="000C0C22"/>
    <w:rsid w:val="000C1D1E"/>
    <w:rsid w:val="000C5684"/>
    <w:rsid w:val="000C7876"/>
    <w:rsid w:val="000F0294"/>
    <w:rsid w:val="000F4A35"/>
    <w:rsid w:val="001063C6"/>
    <w:rsid w:val="00126208"/>
    <w:rsid w:val="0013218E"/>
    <w:rsid w:val="00136F2F"/>
    <w:rsid w:val="00145CCD"/>
    <w:rsid w:val="001505D8"/>
    <w:rsid w:val="00154790"/>
    <w:rsid w:val="00156423"/>
    <w:rsid w:val="001572B2"/>
    <w:rsid w:val="001600E5"/>
    <w:rsid w:val="001671EC"/>
    <w:rsid w:val="001829A7"/>
    <w:rsid w:val="00185154"/>
    <w:rsid w:val="0019114D"/>
    <w:rsid w:val="001B544D"/>
    <w:rsid w:val="001C63AA"/>
    <w:rsid w:val="001C7130"/>
    <w:rsid w:val="001D418D"/>
    <w:rsid w:val="001D59C2"/>
    <w:rsid w:val="001E79C0"/>
    <w:rsid w:val="001F16CA"/>
    <w:rsid w:val="00202F61"/>
    <w:rsid w:val="002078C1"/>
    <w:rsid w:val="002106C4"/>
    <w:rsid w:val="00210DEF"/>
    <w:rsid w:val="00215311"/>
    <w:rsid w:val="00222215"/>
    <w:rsid w:val="00225F73"/>
    <w:rsid w:val="00230385"/>
    <w:rsid w:val="00234B27"/>
    <w:rsid w:val="0025119D"/>
    <w:rsid w:val="00251B21"/>
    <w:rsid w:val="00252201"/>
    <w:rsid w:val="00254DD8"/>
    <w:rsid w:val="00277B7D"/>
    <w:rsid w:val="0029579C"/>
    <w:rsid w:val="002A55FB"/>
    <w:rsid w:val="002A590E"/>
    <w:rsid w:val="002B4003"/>
    <w:rsid w:val="002C3BD3"/>
    <w:rsid w:val="002C5B1C"/>
    <w:rsid w:val="002D4254"/>
    <w:rsid w:val="002D4E6E"/>
    <w:rsid w:val="002E76B0"/>
    <w:rsid w:val="002F1E86"/>
    <w:rsid w:val="002F2F7A"/>
    <w:rsid w:val="002F4862"/>
    <w:rsid w:val="002F7695"/>
    <w:rsid w:val="00301893"/>
    <w:rsid w:val="00305D75"/>
    <w:rsid w:val="00321E9B"/>
    <w:rsid w:val="003411DD"/>
    <w:rsid w:val="00367D0C"/>
    <w:rsid w:val="0037041C"/>
    <w:rsid w:val="0037398C"/>
    <w:rsid w:val="0037618F"/>
    <w:rsid w:val="00384B36"/>
    <w:rsid w:val="003853C1"/>
    <w:rsid w:val="00390A31"/>
    <w:rsid w:val="00390A4E"/>
    <w:rsid w:val="003A04C1"/>
    <w:rsid w:val="003A08A5"/>
    <w:rsid w:val="003A7582"/>
    <w:rsid w:val="003B0945"/>
    <w:rsid w:val="003B097F"/>
    <w:rsid w:val="003B0D84"/>
    <w:rsid w:val="003B4DCF"/>
    <w:rsid w:val="003B7E90"/>
    <w:rsid w:val="003D2F59"/>
    <w:rsid w:val="003D3B71"/>
    <w:rsid w:val="003D56AF"/>
    <w:rsid w:val="003E090C"/>
    <w:rsid w:val="003E1EF3"/>
    <w:rsid w:val="003E269E"/>
    <w:rsid w:val="003E2CCE"/>
    <w:rsid w:val="003E2E43"/>
    <w:rsid w:val="003E5319"/>
    <w:rsid w:val="003F0FDD"/>
    <w:rsid w:val="003F7688"/>
    <w:rsid w:val="00404615"/>
    <w:rsid w:val="00404C51"/>
    <w:rsid w:val="00407776"/>
    <w:rsid w:val="0042023D"/>
    <w:rsid w:val="004254BC"/>
    <w:rsid w:val="00427353"/>
    <w:rsid w:val="0043564D"/>
    <w:rsid w:val="0043628A"/>
    <w:rsid w:val="00436598"/>
    <w:rsid w:val="00437D44"/>
    <w:rsid w:val="00444AE6"/>
    <w:rsid w:val="004478FD"/>
    <w:rsid w:val="00452469"/>
    <w:rsid w:val="004618CA"/>
    <w:rsid w:val="004700B3"/>
    <w:rsid w:val="0047405C"/>
    <w:rsid w:val="0047617A"/>
    <w:rsid w:val="00487046"/>
    <w:rsid w:val="00491C59"/>
    <w:rsid w:val="004A07AD"/>
    <w:rsid w:val="004A6C01"/>
    <w:rsid w:val="004B7DAE"/>
    <w:rsid w:val="004D282B"/>
    <w:rsid w:val="004E79A4"/>
    <w:rsid w:val="004F15CC"/>
    <w:rsid w:val="004F2A3C"/>
    <w:rsid w:val="004F3D6F"/>
    <w:rsid w:val="0051056D"/>
    <w:rsid w:val="00512DFD"/>
    <w:rsid w:val="0051760B"/>
    <w:rsid w:val="005331C9"/>
    <w:rsid w:val="00546E3C"/>
    <w:rsid w:val="0055219D"/>
    <w:rsid w:val="0055353F"/>
    <w:rsid w:val="0056633F"/>
    <w:rsid w:val="005713E5"/>
    <w:rsid w:val="0058629E"/>
    <w:rsid w:val="005937C5"/>
    <w:rsid w:val="005A435A"/>
    <w:rsid w:val="005B0C40"/>
    <w:rsid w:val="005B422B"/>
    <w:rsid w:val="005C1E2F"/>
    <w:rsid w:val="005D0DEF"/>
    <w:rsid w:val="005D15BB"/>
    <w:rsid w:val="005D620B"/>
    <w:rsid w:val="005E259B"/>
    <w:rsid w:val="006025ED"/>
    <w:rsid w:val="0061089F"/>
    <w:rsid w:val="00621878"/>
    <w:rsid w:val="00633235"/>
    <w:rsid w:val="0065325A"/>
    <w:rsid w:val="00660796"/>
    <w:rsid w:val="00674316"/>
    <w:rsid w:val="00677803"/>
    <w:rsid w:val="00684E74"/>
    <w:rsid w:val="006A1801"/>
    <w:rsid w:val="006C0AAC"/>
    <w:rsid w:val="006D22C5"/>
    <w:rsid w:val="006D7FC0"/>
    <w:rsid w:val="006F73CC"/>
    <w:rsid w:val="00706376"/>
    <w:rsid w:val="00727BBF"/>
    <w:rsid w:val="00750F58"/>
    <w:rsid w:val="00755032"/>
    <w:rsid w:val="00757A95"/>
    <w:rsid w:val="00761AD9"/>
    <w:rsid w:val="00770BF1"/>
    <w:rsid w:val="00774E81"/>
    <w:rsid w:val="0077544D"/>
    <w:rsid w:val="007814D7"/>
    <w:rsid w:val="00781E91"/>
    <w:rsid w:val="007923D9"/>
    <w:rsid w:val="007A5346"/>
    <w:rsid w:val="007D4ABC"/>
    <w:rsid w:val="007E1A5E"/>
    <w:rsid w:val="008128A9"/>
    <w:rsid w:val="00817D6F"/>
    <w:rsid w:val="00822503"/>
    <w:rsid w:val="0082525D"/>
    <w:rsid w:val="0083729D"/>
    <w:rsid w:val="00843444"/>
    <w:rsid w:val="00844A7A"/>
    <w:rsid w:val="00845732"/>
    <w:rsid w:val="00852A87"/>
    <w:rsid w:val="008572D9"/>
    <w:rsid w:val="00861E13"/>
    <w:rsid w:val="008638A7"/>
    <w:rsid w:val="00867AFF"/>
    <w:rsid w:val="00867E9D"/>
    <w:rsid w:val="00892496"/>
    <w:rsid w:val="00895827"/>
    <w:rsid w:val="0089724E"/>
    <w:rsid w:val="008A4E5B"/>
    <w:rsid w:val="008A6F22"/>
    <w:rsid w:val="008B17B1"/>
    <w:rsid w:val="008B5698"/>
    <w:rsid w:val="008B5D8F"/>
    <w:rsid w:val="008C0C20"/>
    <w:rsid w:val="008C191E"/>
    <w:rsid w:val="008E7377"/>
    <w:rsid w:val="008F4E0B"/>
    <w:rsid w:val="008F5042"/>
    <w:rsid w:val="0090286B"/>
    <w:rsid w:val="009071F0"/>
    <w:rsid w:val="00907866"/>
    <w:rsid w:val="00911AA4"/>
    <w:rsid w:val="00920473"/>
    <w:rsid w:val="00924EFC"/>
    <w:rsid w:val="0094185C"/>
    <w:rsid w:val="009453E1"/>
    <w:rsid w:val="00945522"/>
    <w:rsid w:val="009571D7"/>
    <w:rsid w:val="00963288"/>
    <w:rsid w:val="00975AC5"/>
    <w:rsid w:val="009A199C"/>
    <w:rsid w:val="009A1E0A"/>
    <w:rsid w:val="009C35C4"/>
    <w:rsid w:val="009E3BCF"/>
    <w:rsid w:val="009F6CE7"/>
    <w:rsid w:val="00A07960"/>
    <w:rsid w:val="00A10D3E"/>
    <w:rsid w:val="00A155FE"/>
    <w:rsid w:val="00A3265E"/>
    <w:rsid w:val="00A41250"/>
    <w:rsid w:val="00A41D4E"/>
    <w:rsid w:val="00A4774B"/>
    <w:rsid w:val="00A50A5B"/>
    <w:rsid w:val="00A52A8F"/>
    <w:rsid w:val="00A60422"/>
    <w:rsid w:val="00A63699"/>
    <w:rsid w:val="00A63844"/>
    <w:rsid w:val="00A640FF"/>
    <w:rsid w:val="00A83B38"/>
    <w:rsid w:val="00A879ED"/>
    <w:rsid w:val="00AA6010"/>
    <w:rsid w:val="00AC2FFD"/>
    <w:rsid w:val="00AD6445"/>
    <w:rsid w:val="00AD6EC2"/>
    <w:rsid w:val="00AE4C26"/>
    <w:rsid w:val="00AF2204"/>
    <w:rsid w:val="00AF3432"/>
    <w:rsid w:val="00B012F3"/>
    <w:rsid w:val="00B05D48"/>
    <w:rsid w:val="00B11EEA"/>
    <w:rsid w:val="00B1273F"/>
    <w:rsid w:val="00B17B50"/>
    <w:rsid w:val="00B26C30"/>
    <w:rsid w:val="00B31CEF"/>
    <w:rsid w:val="00B53493"/>
    <w:rsid w:val="00B5508B"/>
    <w:rsid w:val="00B55D18"/>
    <w:rsid w:val="00B56680"/>
    <w:rsid w:val="00B56CC8"/>
    <w:rsid w:val="00B61C5E"/>
    <w:rsid w:val="00B65281"/>
    <w:rsid w:val="00B668FB"/>
    <w:rsid w:val="00B76B8E"/>
    <w:rsid w:val="00B8347A"/>
    <w:rsid w:val="00B83DE6"/>
    <w:rsid w:val="00B85E6C"/>
    <w:rsid w:val="00BA45AE"/>
    <w:rsid w:val="00BA4F4A"/>
    <w:rsid w:val="00BA66AD"/>
    <w:rsid w:val="00BB49AA"/>
    <w:rsid w:val="00BC06EC"/>
    <w:rsid w:val="00BC2DD3"/>
    <w:rsid w:val="00BC5C54"/>
    <w:rsid w:val="00BC67B1"/>
    <w:rsid w:val="00BC6BB8"/>
    <w:rsid w:val="00BD1CBC"/>
    <w:rsid w:val="00BD1F53"/>
    <w:rsid w:val="00BD7CF3"/>
    <w:rsid w:val="00BE16D4"/>
    <w:rsid w:val="00BF2C53"/>
    <w:rsid w:val="00C000C3"/>
    <w:rsid w:val="00C02E60"/>
    <w:rsid w:val="00C05555"/>
    <w:rsid w:val="00C06F85"/>
    <w:rsid w:val="00C10095"/>
    <w:rsid w:val="00C240FD"/>
    <w:rsid w:val="00C24374"/>
    <w:rsid w:val="00C3004E"/>
    <w:rsid w:val="00C301CC"/>
    <w:rsid w:val="00C302EF"/>
    <w:rsid w:val="00C330C1"/>
    <w:rsid w:val="00C47E42"/>
    <w:rsid w:val="00C67759"/>
    <w:rsid w:val="00C74C53"/>
    <w:rsid w:val="00C82F79"/>
    <w:rsid w:val="00C97431"/>
    <w:rsid w:val="00CA2945"/>
    <w:rsid w:val="00CB2E84"/>
    <w:rsid w:val="00CB3D9B"/>
    <w:rsid w:val="00CB67C5"/>
    <w:rsid w:val="00CC565A"/>
    <w:rsid w:val="00CD49CB"/>
    <w:rsid w:val="00CE00DE"/>
    <w:rsid w:val="00D0365E"/>
    <w:rsid w:val="00D20665"/>
    <w:rsid w:val="00D241D3"/>
    <w:rsid w:val="00D24EC3"/>
    <w:rsid w:val="00D253E1"/>
    <w:rsid w:val="00D27FA8"/>
    <w:rsid w:val="00D30004"/>
    <w:rsid w:val="00D34E88"/>
    <w:rsid w:val="00D365D3"/>
    <w:rsid w:val="00D42F7B"/>
    <w:rsid w:val="00D55089"/>
    <w:rsid w:val="00D55AFC"/>
    <w:rsid w:val="00D64B09"/>
    <w:rsid w:val="00D65684"/>
    <w:rsid w:val="00D65CBE"/>
    <w:rsid w:val="00D71241"/>
    <w:rsid w:val="00D76AA2"/>
    <w:rsid w:val="00D97CCB"/>
    <w:rsid w:val="00DA76FA"/>
    <w:rsid w:val="00DA7C7B"/>
    <w:rsid w:val="00DB2B49"/>
    <w:rsid w:val="00DC28FE"/>
    <w:rsid w:val="00DC290C"/>
    <w:rsid w:val="00DC33B4"/>
    <w:rsid w:val="00DD4656"/>
    <w:rsid w:val="00DF01DF"/>
    <w:rsid w:val="00DF41E0"/>
    <w:rsid w:val="00DF5810"/>
    <w:rsid w:val="00E018FB"/>
    <w:rsid w:val="00E100FA"/>
    <w:rsid w:val="00E135C8"/>
    <w:rsid w:val="00E21DC0"/>
    <w:rsid w:val="00E4248F"/>
    <w:rsid w:val="00E61FE7"/>
    <w:rsid w:val="00E64150"/>
    <w:rsid w:val="00E6763B"/>
    <w:rsid w:val="00E74A85"/>
    <w:rsid w:val="00E8129F"/>
    <w:rsid w:val="00E95746"/>
    <w:rsid w:val="00E960A6"/>
    <w:rsid w:val="00EA1FED"/>
    <w:rsid w:val="00EB58BD"/>
    <w:rsid w:val="00EB6D30"/>
    <w:rsid w:val="00EC0FFC"/>
    <w:rsid w:val="00EC3CE8"/>
    <w:rsid w:val="00ED2E33"/>
    <w:rsid w:val="00ED3024"/>
    <w:rsid w:val="00ED71B6"/>
    <w:rsid w:val="00EE0548"/>
    <w:rsid w:val="00EE5474"/>
    <w:rsid w:val="00EF0E10"/>
    <w:rsid w:val="00EF2076"/>
    <w:rsid w:val="00EF2AFB"/>
    <w:rsid w:val="00F03439"/>
    <w:rsid w:val="00F05171"/>
    <w:rsid w:val="00F32A88"/>
    <w:rsid w:val="00F33D5C"/>
    <w:rsid w:val="00F40C84"/>
    <w:rsid w:val="00F431FB"/>
    <w:rsid w:val="00F43A56"/>
    <w:rsid w:val="00F50354"/>
    <w:rsid w:val="00F53ACB"/>
    <w:rsid w:val="00F60E46"/>
    <w:rsid w:val="00F6184E"/>
    <w:rsid w:val="00F73E91"/>
    <w:rsid w:val="00F73F9B"/>
    <w:rsid w:val="00F8007E"/>
    <w:rsid w:val="00F81C8A"/>
    <w:rsid w:val="00F81FEA"/>
    <w:rsid w:val="00F84805"/>
    <w:rsid w:val="00F85E41"/>
    <w:rsid w:val="00F93451"/>
    <w:rsid w:val="00FA2B02"/>
    <w:rsid w:val="00FB1115"/>
    <w:rsid w:val="00FB4AE4"/>
    <w:rsid w:val="00FD5739"/>
    <w:rsid w:val="00FE5CDD"/>
    <w:rsid w:val="00FE7A02"/>
    <w:rsid w:val="00FE7A55"/>
    <w:rsid w:val="00FF64D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913874"/>
  <w15:docId w15:val="{3FABE5DC-0BE2-49EA-BAEE-6B105C22A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130"/>
    <w:pPr>
      <w:spacing w:before="0" w:after="0"/>
    </w:pPr>
  </w:style>
  <w:style w:type="paragraph" w:styleId="Heading1">
    <w:name w:val="heading 1"/>
    <w:basedOn w:val="Normal"/>
    <w:next w:val="BodyText"/>
    <w:link w:val="Heading1Char"/>
    <w:qFormat/>
    <w:rsid w:val="001C7130"/>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1C7130"/>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1C7130"/>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3"/>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3"/>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3"/>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C7130"/>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1C7130"/>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1C7130"/>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1C7130"/>
    <w:pPr>
      <w:numPr>
        <w:numId w:val="49"/>
      </w:numPr>
    </w:pPr>
  </w:style>
  <w:style w:type="paragraph" w:customStyle="1" w:styleId="NbrHeading2">
    <w:name w:val="Nbr Heading 2"/>
    <w:basedOn w:val="Heading2"/>
    <w:qFormat/>
    <w:rsid w:val="001C7130"/>
    <w:pPr>
      <w:numPr>
        <w:ilvl w:val="1"/>
        <w:numId w:val="49"/>
      </w:numPr>
    </w:pPr>
  </w:style>
  <w:style w:type="paragraph" w:customStyle="1" w:styleId="NbrHeading3">
    <w:name w:val="Nbr Heading 3"/>
    <w:basedOn w:val="Heading3"/>
    <w:qFormat/>
    <w:rsid w:val="001C7130"/>
    <w:pPr>
      <w:numPr>
        <w:ilvl w:val="2"/>
        <w:numId w:val="49"/>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A7582"/>
    <w:pPr>
      <w:numPr>
        <w:numId w:val="36"/>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5B422B"/>
    <w:rPr>
      <w:color w:val="004B8D" w:themeColor="accent1"/>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A7582"/>
    <w:pPr>
      <w:numPr>
        <w:numId w:val="39"/>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9"/>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5B422B"/>
    <w:pPr>
      <w:tabs>
        <w:tab w:val="left" w:pos="1134"/>
        <w:tab w:val="left" w:pos="1559"/>
      </w:tabs>
      <w:spacing w:after="120" w:line="264" w:lineRule="auto"/>
    </w:pPr>
    <w:rPr>
      <w:noProof/>
      <w:sz w:val="22"/>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rsid w:val="005B422B"/>
    <w:rPr>
      <w:color w:val="004B8D" w:themeColor="accent1"/>
      <w:u w:val="single"/>
    </w:rPr>
  </w:style>
  <w:style w:type="paragraph" w:customStyle="1" w:styleId="AttachmentH1">
    <w:name w:val="Attachment H1"/>
    <w:basedOn w:val="Normal"/>
    <w:next w:val="BodyText"/>
    <w:uiPriority w:val="99"/>
    <w:qFormat/>
    <w:rsid w:val="00251B21"/>
    <w:pPr>
      <w:pageBreakBefore/>
      <w:numPr>
        <w:numId w:val="29"/>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CC565A"/>
    <w:pPr>
      <w:numPr>
        <w:ilvl w:val="1"/>
        <w:numId w:val="29"/>
      </w:numPr>
      <w:tabs>
        <w:tab w:val="left" w:pos="851"/>
      </w:tabs>
    </w:pPr>
    <w:rPr>
      <w:iCs w:val="0"/>
    </w:rPr>
  </w:style>
  <w:style w:type="paragraph" w:customStyle="1" w:styleId="AttachmentH3">
    <w:name w:val="Attachment H3"/>
    <w:basedOn w:val="Heading3"/>
    <w:next w:val="BodyText"/>
    <w:uiPriority w:val="99"/>
    <w:qFormat/>
    <w:rsid w:val="008E7377"/>
    <w:pPr>
      <w:numPr>
        <w:ilvl w:val="2"/>
        <w:numId w:val="29"/>
      </w:numPr>
      <w:tabs>
        <w:tab w:val="left" w:pos="851"/>
      </w:tabs>
    </w:p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3A7582"/>
    <w:pPr>
      <w:numPr>
        <w:ilvl w:val="1"/>
      </w:numPr>
      <w:spacing w:after="120"/>
    </w:pPr>
  </w:style>
  <w:style w:type="paragraph" w:styleId="ListBullet3">
    <w:name w:val="List Bullet 3"/>
    <w:basedOn w:val="ListBullet0"/>
    <w:uiPriority w:val="19"/>
    <w:rsid w:val="003A7582"/>
    <w:pPr>
      <w:numPr>
        <w:ilvl w:val="2"/>
      </w:numPr>
      <w:spacing w:after="120"/>
    </w:pPr>
  </w:style>
  <w:style w:type="paragraph" w:styleId="ListBullet4">
    <w:name w:val="List Bullet 4"/>
    <w:basedOn w:val="ListBullet0"/>
    <w:uiPriority w:val="19"/>
    <w:rsid w:val="003A7582"/>
    <w:pPr>
      <w:numPr>
        <w:ilvl w:val="3"/>
      </w:numPr>
      <w:spacing w:after="120"/>
    </w:pPr>
  </w:style>
  <w:style w:type="paragraph" w:styleId="ListBullet5">
    <w:name w:val="List Bullet 5"/>
    <w:basedOn w:val="ListBullet0"/>
    <w:uiPriority w:val="19"/>
    <w:rsid w:val="003A7582"/>
    <w:pPr>
      <w:numPr>
        <w:ilvl w:val="4"/>
      </w:numPr>
      <w:spacing w:after="120"/>
    </w:pPr>
  </w:style>
  <w:style w:type="paragraph" w:customStyle="1" w:styleId="ListBullet6">
    <w:name w:val="List Bullet 6"/>
    <w:basedOn w:val="ListBullet0"/>
    <w:uiPriority w:val="19"/>
    <w:rsid w:val="003A7582"/>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A7582"/>
    <w:pPr>
      <w:numPr>
        <w:numId w:val="11"/>
      </w:numPr>
    </w:pPr>
  </w:style>
  <w:style w:type="numbering" w:customStyle="1" w:styleId="ListNumberedHeadings">
    <w:name w:val="List_NumberedHeadings"/>
    <w:uiPriority w:val="99"/>
    <w:rsid w:val="001C7130"/>
    <w:pPr>
      <w:numPr>
        <w:numId w:val="2"/>
      </w:numPr>
    </w:pPr>
  </w:style>
  <w:style w:type="numbering" w:customStyle="1" w:styleId="ListTableBullet">
    <w:name w:val="List_TableBullet"/>
    <w:uiPriority w:val="99"/>
    <w:rsid w:val="003A7582"/>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A758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3"/>
    <w:qFormat/>
    <w:rsid w:val="00F32A88"/>
    <w:pPr>
      <w:spacing w:before="60" w:after="60"/>
    </w:pPr>
  </w:style>
  <w:style w:type="numbering" w:customStyle="1" w:styleId="ListAttachment">
    <w:name w:val="List_Attachment"/>
    <w:uiPriority w:val="99"/>
    <w:rsid w:val="00CC565A"/>
    <w:pPr>
      <w:numPr>
        <w:numId w:val="23"/>
      </w:numPr>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A60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vision2020australia.org.au/resources/5544/" TargetMode="External"/><Relationship Id="rId4" Type="http://schemas.openxmlformats.org/officeDocument/2006/relationships/styles" Target="styles.xml"/><Relationship Id="rId9" Type="http://schemas.openxmlformats.org/officeDocument/2006/relationships/hyperlink" Target="https://www.pc.gov.au/inquiries/completed/indigenous-evaluation/strateg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erebrianik\AppData\Roaming\Microsoft\Word\STARTUP\Vision2020%20Ribb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89B9657124C4DE3839DF92E3AD48968"/>
        <w:category>
          <w:name w:val="General"/>
          <w:gallery w:val="placeholder"/>
        </w:category>
        <w:types>
          <w:type w:val="bbPlcHdr"/>
        </w:types>
        <w:behaviors>
          <w:behavior w:val="content"/>
        </w:behaviors>
        <w:guid w:val="{492D0334-1926-495C-A4C2-6FC46967DADE}"/>
      </w:docPartPr>
      <w:docPartBody>
        <w:p w:rsidR="00CE4D9E" w:rsidRDefault="00536A80">
          <w:pPr>
            <w:pStyle w:val="B89B9657124C4DE3839DF92E3AD48968"/>
          </w:pPr>
          <w:r w:rsidRPr="00660796">
            <w:rPr>
              <w:shd w:val="clear" w:color="auto" w:fill="D9D9D9" w:themeFill="background1" w:themeFillShade="D9"/>
            </w:rPr>
            <w:t>[Topic of paper]</w:t>
          </w:r>
        </w:p>
      </w:docPartBody>
    </w:docPart>
    <w:docPart>
      <w:docPartPr>
        <w:name w:val="6C849A9E5FEC48238A2C5A46EA414B29"/>
        <w:category>
          <w:name w:val="General"/>
          <w:gallery w:val="placeholder"/>
        </w:category>
        <w:types>
          <w:type w:val="bbPlcHdr"/>
        </w:types>
        <w:behaviors>
          <w:behavior w:val="content"/>
        </w:behaviors>
        <w:guid w:val="{276D3C10-7E0A-413F-9FA8-F0280627F590}"/>
      </w:docPartPr>
      <w:docPartBody>
        <w:p w:rsidR="00CE4D9E" w:rsidRDefault="00536A80">
          <w:pPr>
            <w:pStyle w:val="6C849A9E5FEC48238A2C5A46EA414B29"/>
          </w:pPr>
          <w:r w:rsidRPr="00660796">
            <w:rPr>
              <w:shd w:val="clear" w:color="auto" w:fill="D9D9D9" w:themeFill="background1" w:themeFillShade="D9"/>
            </w:rPr>
            <w:t>[Choose…]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26"/>
    <w:rsid w:val="00536A80"/>
    <w:rsid w:val="00600626"/>
    <w:rsid w:val="00972157"/>
    <w:rsid w:val="00BC241C"/>
    <w:rsid w:val="00C25D04"/>
    <w:rsid w:val="00CE4D9E"/>
    <w:rsid w:val="00D7793D"/>
    <w:rsid w:val="00E63425"/>
    <w:rsid w:val="00FD3256"/>
    <w:rsid w:val="00FF66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9EC91917994EA697B2958675C55359">
    <w:name w:val="F29EC91917994EA697B2958675C55359"/>
  </w:style>
  <w:style w:type="character" w:styleId="PlaceholderText">
    <w:name w:val="Placeholder Text"/>
    <w:basedOn w:val="DefaultParagraphFont"/>
    <w:uiPriority w:val="99"/>
    <w:semiHidden/>
    <w:rPr>
      <w:color w:val="808080"/>
    </w:rPr>
  </w:style>
  <w:style w:type="paragraph" w:customStyle="1" w:styleId="2056E703DC964467A8A1A0A55214C4A5">
    <w:name w:val="2056E703DC964467A8A1A0A55214C4A5"/>
  </w:style>
  <w:style w:type="paragraph" w:customStyle="1" w:styleId="B89B9657124C4DE3839DF92E3AD48968">
    <w:name w:val="B89B9657124C4DE3839DF92E3AD48968"/>
  </w:style>
  <w:style w:type="paragraph" w:customStyle="1" w:styleId="6C849A9E5FEC48238A2C5A46EA414B29">
    <w:name w:val="6C849A9E5FEC48238A2C5A46EA414B29"/>
  </w:style>
  <w:style w:type="paragraph" w:customStyle="1" w:styleId="8367812BF838469EA0313AA325F4295B">
    <w:name w:val="8367812BF838469EA0313AA325F4295B"/>
    <w:rsid w:val="00600626"/>
  </w:style>
  <w:style w:type="paragraph" w:customStyle="1" w:styleId="5633F95306354D3A8854C11A154E80D8">
    <w:name w:val="5633F95306354D3A8854C11A154E80D8"/>
    <w:rsid w:val="009721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2020-10-30T00:00:00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B6385C-1FBE-45F6-859B-1740D734C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Vision2020 Ribbon</Template>
  <TotalTime>91</TotalTime>
  <Pages>2</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Productivity Commission Indigenous Evaluation Strategy</dc:subject>
  <dc:creator>Roman Serebrianik</dc:creator>
  <cp:lastModifiedBy>Roman Serebrianik</cp:lastModifiedBy>
  <cp:revision>50</cp:revision>
  <cp:lastPrinted>2020-10-30T02:31:00Z</cp:lastPrinted>
  <dcterms:created xsi:type="dcterms:W3CDTF">2020-10-30T00:43:00Z</dcterms:created>
  <dcterms:modified xsi:type="dcterms:W3CDTF">2020-11-26T23:31:00Z</dcterms:modified>
</cp:coreProperties>
</file>