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FC82B" w14:textId="77777777" w:rsidR="00512865" w:rsidRPr="00512865" w:rsidRDefault="00512865" w:rsidP="00512865">
      <w:pPr>
        <w:spacing w:after="360"/>
        <w:rPr>
          <w:rFonts w:asciiTheme="majorHAnsi" w:eastAsiaTheme="minorHAnsi" w:hAnsiTheme="majorHAnsi" w:cstheme="majorBidi"/>
          <w:sz w:val="40"/>
          <w:szCs w:val="52"/>
          <w:lang w:eastAsia="en-US"/>
        </w:rPr>
      </w:pPr>
      <w:bookmarkStart w:id="0" w:name="_Toc422912362"/>
      <w:r w:rsidRPr="00512865">
        <w:rPr>
          <w:rFonts w:asciiTheme="majorHAnsi" w:eastAsiaTheme="majorEastAsia" w:hAnsiTheme="majorHAnsi" w:cstheme="majorBidi"/>
          <w:sz w:val="40"/>
          <w:szCs w:val="52"/>
          <w:lang w:eastAsia="en-US"/>
        </w:rPr>
        <w:t>Vision 2020 Australia - 2020 year in review</w:t>
      </w:r>
    </w:p>
    <w:bookmarkEnd w:id="0"/>
    <w:p w14:paraId="41DEE287" w14:textId="3721F09F" w:rsidR="00512865" w:rsidRPr="00512865" w:rsidRDefault="00512865" w:rsidP="00512865">
      <w:pPr>
        <w:spacing w:before="120" w:after="120" w:line="264" w:lineRule="auto"/>
        <w:rPr>
          <w:rFonts w:eastAsiaTheme="minorHAnsi" w:cs="Times New Roman"/>
          <w:szCs w:val="24"/>
          <w:lang w:eastAsia="en-AU"/>
        </w:rPr>
      </w:pPr>
      <w:r w:rsidRPr="00512865">
        <w:rPr>
          <w:rFonts w:eastAsiaTheme="minorHAnsi" w:cs="Times New Roman"/>
          <w:szCs w:val="24"/>
          <w:lang w:eastAsia="en-AU"/>
        </w:rPr>
        <w:t xml:space="preserve">This time last year, Vision 2020 Australia was working with its members on plans for a 2020 that would be celebrating and leveraging the unique opportunities </w:t>
      </w:r>
      <w:r w:rsidR="00914EB5" w:rsidRPr="00914EB5">
        <w:rPr>
          <w:rFonts w:eastAsiaTheme="minorHAnsi" w:cs="Times New Roman"/>
          <w:szCs w:val="24"/>
          <w:lang w:eastAsia="en-AU"/>
        </w:rPr>
        <w:t>that particular year presented</w:t>
      </w:r>
      <w:r w:rsidR="00FB4181">
        <w:rPr>
          <w:rFonts w:eastAsiaTheme="minorHAnsi" w:cs="Times New Roman"/>
          <w:szCs w:val="24"/>
          <w:lang w:eastAsia="en-AU"/>
        </w:rPr>
        <w:t>.</w:t>
      </w:r>
    </w:p>
    <w:p w14:paraId="1EA524C5" w14:textId="77777777" w:rsidR="00512865" w:rsidRPr="00512865" w:rsidRDefault="00512865" w:rsidP="00512865">
      <w:pPr>
        <w:spacing w:before="120" w:after="120" w:line="264" w:lineRule="auto"/>
        <w:rPr>
          <w:rFonts w:eastAsiaTheme="minorHAnsi" w:cs="Times New Roman"/>
          <w:szCs w:val="24"/>
          <w:lang w:eastAsia="en-AU"/>
        </w:rPr>
      </w:pPr>
      <w:r w:rsidRPr="00512865">
        <w:rPr>
          <w:rFonts w:eastAsiaTheme="minorHAnsi" w:cs="Times New Roman"/>
          <w:szCs w:val="24"/>
          <w:lang w:eastAsia="en-AU"/>
        </w:rPr>
        <w:t xml:space="preserve">Public awareness raising activities, member events, strengthened political engagement and advocacy activities were all in planning stages when the impacts of COVID-19 began to be felt by the sector and it, like the rest of Australia, pivoted to new operating models and priorities. </w:t>
      </w:r>
    </w:p>
    <w:p w14:paraId="4080573C" w14:textId="465C9F22" w:rsidR="00512865" w:rsidRPr="00512865" w:rsidRDefault="00512865" w:rsidP="00512865">
      <w:pPr>
        <w:spacing w:before="120" w:after="120" w:line="264" w:lineRule="auto"/>
        <w:rPr>
          <w:rFonts w:eastAsiaTheme="minorHAnsi" w:cs="Times New Roman"/>
          <w:szCs w:val="24"/>
          <w:lang w:eastAsia="en-AU"/>
        </w:rPr>
      </w:pPr>
      <w:r w:rsidRPr="00512865">
        <w:rPr>
          <w:rFonts w:eastAsiaTheme="minorHAnsi" w:cs="Times New Roman"/>
          <w:szCs w:val="24"/>
          <w:lang w:eastAsia="en-AU"/>
        </w:rPr>
        <w:t>We are proud that, despite the challenges posed by this year, there have been significant gains made by, and for, the eye health and vision sector</w:t>
      </w:r>
      <w:r w:rsidR="00FB4181">
        <w:rPr>
          <w:rFonts w:eastAsiaTheme="minorHAnsi" w:cs="Times New Roman"/>
          <w:szCs w:val="24"/>
          <w:lang w:eastAsia="en-AU"/>
        </w:rPr>
        <w:t xml:space="preserve"> as Vision 2020 Australia celebrated its 20</w:t>
      </w:r>
      <w:r w:rsidR="00FB4181" w:rsidRPr="00FB4181">
        <w:rPr>
          <w:rFonts w:eastAsiaTheme="minorHAnsi" w:cs="Times New Roman"/>
          <w:szCs w:val="24"/>
          <w:vertAlign w:val="superscript"/>
          <w:lang w:eastAsia="en-AU"/>
        </w:rPr>
        <w:t>th</w:t>
      </w:r>
      <w:r w:rsidR="00FB4181">
        <w:rPr>
          <w:rFonts w:eastAsiaTheme="minorHAnsi" w:cs="Times New Roman"/>
          <w:szCs w:val="24"/>
          <w:lang w:eastAsia="en-AU"/>
        </w:rPr>
        <w:t xml:space="preserve"> birthday. </w:t>
      </w:r>
      <w:r w:rsidRPr="00512865">
        <w:rPr>
          <w:rFonts w:eastAsiaTheme="minorHAnsi" w:cs="Times New Roman"/>
          <w:szCs w:val="24"/>
          <w:lang w:eastAsia="en-AU"/>
        </w:rPr>
        <w:t xml:space="preserve">This document summarises some of those, which have been achieved through the joint efforts of member organisations working with </w:t>
      </w:r>
      <w:r w:rsidR="0072368E">
        <w:rPr>
          <w:rFonts w:eastAsiaTheme="minorHAnsi" w:cs="Times New Roman"/>
          <w:szCs w:val="24"/>
          <w:lang w:eastAsia="en-AU"/>
        </w:rPr>
        <w:t>their</w:t>
      </w:r>
      <w:r w:rsidRPr="00512865">
        <w:rPr>
          <w:rFonts w:eastAsiaTheme="minorHAnsi" w:cs="Times New Roman"/>
          <w:szCs w:val="24"/>
          <w:lang w:eastAsia="en-AU"/>
        </w:rPr>
        <w:t xml:space="preserve"> peak body.  </w:t>
      </w:r>
    </w:p>
    <w:p w14:paraId="169F5F15" w14:textId="77777777" w:rsidR="00512865" w:rsidRPr="00512865" w:rsidRDefault="00512865" w:rsidP="00512865">
      <w:pPr>
        <w:pStyle w:val="Heading1"/>
        <w:numPr>
          <w:ilvl w:val="0"/>
          <w:numId w:val="0"/>
        </w:numPr>
        <w:rPr>
          <w:rFonts w:eastAsiaTheme="minorHAnsi"/>
        </w:rPr>
      </w:pPr>
      <w:r w:rsidRPr="00512865">
        <w:rPr>
          <w:rFonts w:eastAsiaTheme="minorHAnsi"/>
        </w:rPr>
        <w:t>Government advocacy and engagement</w:t>
      </w:r>
    </w:p>
    <w:p w14:paraId="7B0F6AA3" w14:textId="77777777" w:rsidR="00512865" w:rsidRPr="00512865" w:rsidRDefault="00512865" w:rsidP="00627B04">
      <w:pPr>
        <w:numPr>
          <w:ilvl w:val="0"/>
          <w:numId w:val="37"/>
        </w:numPr>
        <w:spacing w:before="120" w:line="264" w:lineRule="auto"/>
        <w:rPr>
          <w:rFonts w:eastAsiaTheme="minorHAnsi" w:cs="Times New Roman"/>
          <w:szCs w:val="24"/>
          <w:lang w:eastAsia="en-AU"/>
        </w:rPr>
      </w:pPr>
      <w:r w:rsidRPr="00512865">
        <w:rPr>
          <w:rFonts w:eastAsiaTheme="minorHAnsi" w:cs="Times New Roman"/>
          <w:szCs w:val="24"/>
          <w:lang w:eastAsia="en-AU"/>
        </w:rPr>
        <w:t>Strong engagement of Australian Government, including:</w:t>
      </w:r>
    </w:p>
    <w:p w14:paraId="197AF065" w14:textId="5EF98DDE" w:rsidR="00512865" w:rsidRPr="00512865" w:rsidRDefault="00512865" w:rsidP="00627B04">
      <w:pPr>
        <w:pStyle w:val="BodyText"/>
        <w:numPr>
          <w:ilvl w:val="1"/>
          <w:numId w:val="39"/>
        </w:numPr>
        <w:rPr>
          <w:rFonts w:eastAsiaTheme="minorHAnsi"/>
        </w:rPr>
      </w:pPr>
      <w:r w:rsidRPr="008D2C93">
        <w:rPr>
          <w:rFonts w:eastAsiaTheme="minorHAnsi"/>
        </w:rPr>
        <w:t xml:space="preserve">Prime Ministerial support for sector through </w:t>
      </w:r>
      <w:hyperlink r:id="rId8" w:history="1">
        <w:r w:rsidRPr="008D2C93">
          <w:rPr>
            <w:rStyle w:val="Hyperlink"/>
            <w:rFonts w:eastAsiaTheme="minorHAnsi"/>
          </w:rPr>
          <w:t>World Sight Day message</w:t>
        </w:r>
      </w:hyperlink>
      <w:r w:rsidR="00FB4181">
        <w:rPr>
          <w:rFonts w:eastAsiaTheme="minorHAnsi"/>
        </w:rPr>
        <w:t xml:space="preserve"> and planned </w:t>
      </w:r>
      <w:r w:rsidRPr="00512865">
        <w:rPr>
          <w:rFonts w:eastAsiaTheme="minorHAnsi"/>
        </w:rPr>
        <w:t xml:space="preserve">round table discussion with sector (cancelled due to pandemic). </w:t>
      </w:r>
    </w:p>
    <w:p w14:paraId="1C650BDD" w14:textId="77777777" w:rsidR="00512865" w:rsidRPr="00512865" w:rsidRDefault="00512865" w:rsidP="00627B04">
      <w:pPr>
        <w:pStyle w:val="BodyText"/>
        <w:numPr>
          <w:ilvl w:val="1"/>
          <w:numId w:val="39"/>
        </w:numPr>
        <w:rPr>
          <w:rFonts w:eastAsiaTheme="minorEastAsia"/>
        </w:rPr>
      </w:pPr>
      <w:r w:rsidRPr="00512865">
        <w:rPr>
          <w:rFonts w:eastAsiaTheme="minorEastAsia"/>
        </w:rPr>
        <w:t>Continued support of Minister Hunt and other Cabinet Ministers for improving eye health and vision care, both for Aboriginal and Torres Strait Islander Peoples and other Australians.</w:t>
      </w:r>
    </w:p>
    <w:p w14:paraId="6B84E776" w14:textId="77777777" w:rsidR="00512865" w:rsidRPr="00512865" w:rsidRDefault="00512865" w:rsidP="00627B04">
      <w:pPr>
        <w:pStyle w:val="BodyText"/>
        <w:numPr>
          <w:ilvl w:val="1"/>
          <w:numId w:val="39"/>
        </w:numPr>
        <w:rPr>
          <w:rFonts w:eastAsiaTheme="minorHAnsi"/>
        </w:rPr>
      </w:pPr>
      <w:r w:rsidRPr="00512865">
        <w:rPr>
          <w:rFonts w:eastAsiaTheme="minorHAnsi"/>
        </w:rPr>
        <w:t>Virtual meetings with Minister Colbeck and good engagement with both his and Minister Robert’s office on both immediate and longer-term issues related to blindness and low vision.</w:t>
      </w:r>
    </w:p>
    <w:p w14:paraId="64B09353" w14:textId="1F97EFD5" w:rsidR="00512865" w:rsidRPr="00512865" w:rsidRDefault="00FB4181" w:rsidP="00627B04">
      <w:pPr>
        <w:numPr>
          <w:ilvl w:val="0"/>
          <w:numId w:val="37"/>
        </w:numPr>
        <w:spacing w:before="120" w:line="264" w:lineRule="auto"/>
        <w:rPr>
          <w:rFonts w:cs="Times New Roman"/>
          <w:szCs w:val="24"/>
          <w:lang w:eastAsia="en-AU"/>
        </w:rPr>
      </w:pPr>
      <w:r>
        <w:rPr>
          <w:rFonts w:cs="Times New Roman"/>
          <w:szCs w:val="24"/>
          <w:lang w:eastAsia="en-AU"/>
        </w:rPr>
        <w:t>Australian government leadership o</w:t>
      </w:r>
      <w:r w:rsidR="00512865" w:rsidRPr="00512865">
        <w:rPr>
          <w:rFonts w:cs="Times New Roman"/>
          <w:szCs w:val="24"/>
          <w:lang w:eastAsia="en-AU"/>
        </w:rPr>
        <w:t xml:space="preserve">n the global stage, where it co-sponsored a </w:t>
      </w:r>
      <w:hyperlink r:id="rId9" w:history="1">
        <w:r w:rsidR="00512865" w:rsidRPr="002D61B3">
          <w:rPr>
            <w:rStyle w:val="Hyperlink"/>
            <w:rFonts w:cs="Times New Roman"/>
            <w:szCs w:val="24"/>
            <w:lang w:eastAsia="en-AU"/>
          </w:rPr>
          <w:t>World Health Assembly Resolution committing all member states to action in response to the World Report on Vision</w:t>
        </w:r>
      </w:hyperlink>
      <w:r w:rsidR="00512865" w:rsidRPr="00512865">
        <w:rPr>
          <w:rFonts w:cs="Times New Roman"/>
          <w:szCs w:val="24"/>
          <w:lang w:eastAsia="en-AU"/>
        </w:rPr>
        <w:t xml:space="preserve">. </w:t>
      </w:r>
    </w:p>
    <w:p w14:paraId="6510C1EC" w14:textId="4EF56033" w:rsidR="00512865" w:rsidRPr="00512865" w:rsidRDefault="00512865" w:rsidP="00627B04">
      <w:pPr>
        <w:numPr>
          <w:ilvl w:val="0"/>
          <w:numId w:val="37"/>
        </w:numPr>
        <w:spacing w:before="120" w:line="264" w:lineRule="auto"/>
        <w:rPr>
          <w:rFonts w:cs="Times New Roman"/>
          <w:szCs w:val="24"/>
          <w:lang w:eastAsia="en-AU"/>
        </w:rPr>
      </w:pPr>
      <w:r w:rsidRPr="00512865">
        <w:rPr>
          <w:rFonts w:cs="Times New Roman"/>
          <w:szCs w:val="24"/>
          <w:lang w:eastAsia="en-AU"/>
        </w:rPr>
        <w:t xml:space="preserve">Ongoing engagement with Department of Health and Department of Foreign Affairs and Trade </w:t>
      </w:r>
      <w:r w:rsidR="00FB4181">
        <w:rPr>
          <w:rFonts w:cs="Times New Roman"/>
          <w:szCs w:val="24"/>
          <w:lang w:eastAsia="en-AU"/>
        </w:rPr>
        <w:t>o</w:t>
      </w:r>
      <w:r w:rsidRPr="00512865">
        <w:rPr>
          <w:rFonts w:cs="Times New Roman"/>
          <w:szCs w:val="24"/>
          <w:lang w:eastAsia="en-AU"/>
        </w:rPr>
        <w:t>fficials on diverse range of current and emerging issues impacting the sector in Australia and internationally</w:t>
      </w:r>
      <w:r w:rsidR="00F5624F">
        <w:rPr>
          <w:rFonts w:cs="Times New Roman"/>
          <w:szCs w:val="24"/>
          <w:lang w:eastAsia="en-AU"/>
        </w:rPr>
        <w:t>.</w:t>
      </w:r>
    </w:p>
    <w:p w14:paraId="4EEC74B8" w14:textId="794BF9D3" w:rsidR="00512865" w:rsidRPr="00512865" w:rsidRDefault="00FB4181" w:rsidP="00627B04">
      <w:pPr>
        <w:numPr>
          <w:ilvl w:val="0"/>
          <w:numId w:val="37"/>
        </w:numPr>
        <w:spacing w:before="120" w:line="264" w:lineRule="auto"/>
        <w:rPr>
          <w:rFonts w:cs="Times New Roman"/>
          <w:szCs w:val="24"/>
          <w:lang w:eastAsia="en-AU"/>
        </w:rPr>
      </w:pPr>
      <w:r>
        <w:rPr>
          <w:rFonts w:cs="Times New Roman"/>
          <w:szCs w:val="24"/>
          <w:lang w:eastAsia="en-AU"/>
        </w:rPr>
        <w:t>New fundin</w:t>
      </w:r>
      <w:r w:rsidR="00512865" w:rsidRPr="00512865">
        <w:rPr>
          <w:rFonts w:cs="Times New Roman"/>
          <w:szCs w:val="24"/>
          <w:lang w:eastAsia="en-AU"/>
        </w:rPr>
        <w:t>g committed by Australian and Victorian Governments to the sector:</w:t>
      </w:r>
    </w:p>
    <w:p w14:paraId="60468597" w14:textId="77777777" w:rsidR="00512865" w:rsidRPr="00512865" w:rsidRDefault="00512865" w:rsidP="00627B04">
      <w:pPr>
        <w:pStyle w:val="BodyText"/>
        <w:numPr>
          <w:ilvl w:val="1"/>
          <w:numId w:val="39"/>
        </w:numPr>
        <w:rPr>
          <w:rFonts w:eastAsiaTheme="minorHAnsi"/>
        </w:rPr>
      </w:pPr>
      <w:r w:rsidRPr="00512865">
        <w:rPr>
          <w:rFonts w:eastAsiaTheme="minorHAnsi"/>
        </w:rPr>
        <w:t>The Australian Government committed $3.6 million for the Second National Eye Health Survey.</w:t>
      </w:r>
    </w:p>
    <w:p w14:paraId="0C7FEE64" w14:textId="77777777" w:rsidR="00512865" w:rsidRPr="00512865" w:rsidRDefault="00512865" w:rsidP="00627B04">
      <w:pPr>
        <w:pStyle w:val="BodyText"/>
        <w:numPr>
          <w:ilvl w:val="1"/>
          <w:numId w:val="39"/>
        </w:numPr>
        <w:rPr>
          <w:rFonts w:eastAsiaTheme="minorHAnsi"/>
        </w:rPr>
      </w:pPr>
      <w:r w:rsidRPr="00512865">
        <w:rPr>
          <w:rFonts w:eastAsiaTheme="minorHAnsi"/>
        </w:rPr>
        <w:t>The Australian Government continued support for Aboriginal and Torres Strait Islander eye health and vision – further $1.5million for implementation of Strong Eyes, Strong Communities priorities as well as an additional $1.6 million of funding for additional slit lamps and equipment through a Brien Holden Foundation led consortium.</w:t>
      </w:r>
    </w:p>
    <w:p w14:paraId="22E92176" w14:textId="536382D2" w:rsidR="00512865" w:rsidRPr="00512865" w:rsidRDefault="00512865" w:rsidP="00627B04">
      <w:pPr>
        <w:pStyle w:val="BodyText"/>
        <w:numPr>
          <w:ilvl w:val="1"/>
          <w:numId w:val="39"/>
        </w:numPr>
        <w:rPr>
          <w:rFonts w:eastAsiaTheme="minorHAnsi"/>
        </w:rPr>
      </w:pPr>
      <w:r w:rsidRPr="00512865">
        <w:rPr>
          <w:rFonts w:eastAsiaTheme="minorHAnsi"/>
        </w:rPr>
        <w:lastRenderedPageBreak/>
        <w:t>The Australian Government introduced more flexibility in funding and program arrangements for disability and aged care services during</w:t>
      </w:r>
      <w:r w:rsidR="009B01E2">
        <w:rPr>
          <w:rFonts w:eastAsiaTheme="minorHAnsi"/>
        </w:rPr>
        <w:t xml:space="preserve"> the</w:t>
      </w:r>
      <w:r w:rsidRPr="00512865">
        <w:rPr>
          <w:rFonts w:eastAsiaTheme="minorHAnsi"/>
        </w:rPr>
        <w:t xml:space="preserve"> COVID-19 pandemic, then extended this flexibility into </w:t>
      </w:r>
      <w:r w:rsidR="009B01E2">
        <w:rPr>
          <w:rFonts w:eastAsiaTheme="minorHAnsi"/>
        </w:rPr>
        <w:t xml:space="preserve">the </w:t>
      </w:r>
      <w:r w:rsidRPr="00512865">
        <w:rPr>
          <w:rFonts w:eastAsiaTheme="minorHAnsi"/>
        </w:rPr>
        <w:t>following year, a development welcomed by blindness and low vision providers.</w:t>
      </w:r>
    </w:p>
    <w:p w14:paraId="64B56902" w14:textId="77777777" w:rsidR="00512865" w:rsidRPr="00512865" w:rsidRDefault="00512865" w:rsidP="00627B04">
      <w:pPr>
        <w:pStyle w:val="BodyText"/>
        <w:numPr>
          <w:ilvl w:val="1"/>
          <w:numId w:val="39"/>
        </w:numPr>
        <w:rPr>
          <w:rFonts w:eastAsiaTheme="minorHAnsi"/>
        </w:rPr>
      </w:pPr>
      <w:r w:rsidRPr="00512865">
        <w:rPr>
          <w:rFonts w:eastAsiaTheme="minorHAnsi"/>
        </w:rPr>
        <w:t>The Victorian Government extended funding for the Victorian Vision Initiative to end June 2021.</w:t>
      </w:r>
    </w:p>
    <w:p w14:paraId="1E8A53F6" w14:textId="77777777" w:rsidR="00512865" w:rsidRPr="00512865" w:rsidRDefault="00512865" w:rsidP="00512865">
      <w:pPr>
        <w:pStyle w:val="Heading1"/>
        <w:numPr>
          <w:ilvl w:val="0"/>
          <w:numId w:val="0"/>
        </w:numPr>
        <w:rPr>
          <w:rFonts w:eastAsiaTheme="minorHAnsi"/>
        </w:rPr>
      </w:pPr>
      <w:r w:rsidRPr="00512865">
        <w:rPr>
          <w:rFonts w:eastAsiaTheme="minorHAnsi"/>
        </w:rPr>
        <w:t>Submissions, policy statements and research</w:t>
      </w:r>
    </w:p>
    <w:p w14:paraId="3BC3BCDD" w14:textId="77777777" w:rsidR="00512865" w:rsidRPr="00512865" w:rsidRDefault="00512865" w:rsidP="00512865">
      <w:pPr>
        <w:spacing w:before="120" w:after="120" w:line="264" w:lineRule="auto"/>
        <w:rPr>
          <w:rFonts w:cs="Times New Roman"/>
          <w:szCs w:val="24"/>
          <w:lang w:eastAsia="en-AU"/>
        </w:rPr>
      </w:pPr>
      <w:r w:rsidRPr="00512865">
        <w:rPr>
          <w:rFonts w:cs="Times New Roman"/>
          <w:szCs w:val="24"/>
          <w:lang w:eastAsia="en-AU"/>
        </w:rPr>
        <w:t xml:space="preserve">2020 was a strong year for collective voice and national policy making.  </w:t>
      </w:r>
    </w:p>
    <w:p w14:paraId="5F314279" w14:textId="77777777" w:rsidR="00512865" w:rsidRPr="00512865" w:rsidRDefault="00512865" w:rsidP="00512865">
      <w:pPr>
        <w:spacing w:before="120" w:after="120" w:line="264" w:lineRule="auto"/>
        <w:rPr>
          <w:rFonts w:cs="Times New Roman"/>
          <w:szCs w:val="24"/>
          <w:lang w:eastAsia="en-AU"/>
        </w:rPr>
      </w:pPr>
      <w:r w:rsidRPr="00512865">
        <w:rPr>
          <w:rFonts w:cs="Times New Roman"/>
          <w:szCs w:val="24"/>
          <w:lang w:eastAsia="en-AU"/>
        </w:rPr>
        <w:t xml:space="preserve">Across 2020, there were a total of 14 meetings of the four national policy committees and a further 58 working group meetings and workshops. In total, over 70 representatives from member organisations participated in those meetings.  </w:t>
      </w:r>
    </w:p>
    <w:p w14:paraId="7FD01423" w14:textId="626CEAAB" w:rsidR="00512865" w:rsidRPr="00512865" w:rsidRDefault="00512865" w:rsidP="00512865">
      <w:pPr>
        <w:spacing w:before="120" w:after="120" w:line="264" w:lineRule="auto"/>
        <w:rPr>
          <w:rFonts w:cs="Times New Roman"/>
          <w:szCs w:val="24"/>
          <w:lang w:eastAsia="en-AU"/>
        </w:rPr>
      </w:pPr>
      <w:r w:rsidRPr="00512865">
        <w:rPr>
          <w:rFonts w:cs="Times New Roman"/>
          <w:szCs w:val="24"/>
          <w:lang w:eastAsia="en-AU"/>
        </w:rPr>
        <w:t xml:space="preserve">A total of 12 sector submissions were made </w:t>
      </w:r>
      <w:r w:rsidR="0072368E">
        <w:rPr>
          <w:rFonts w:cs="Times New Roman"/>
          <w:szCs w:val="24"/>
          <w:lang w:eastAsia="en-AU"/>
        </w:rPr>
        <w:t>in</w:t>
      </w:r>
      <w:r w:rsidRPr="00512865">
        <w:rPr>
          <w:rFonts w:cs="Times New Roman"/>
          <w:szCs w:val="24"/>
          <w:lang w:eastAsia="en-AU"/>
        </w:rPr>
        <w:t xml:space="preserve"> 2020:</w:t>
      </w:r>
    </w:p>
    <w:p w14:paraId="6CA19067" w14:textId="4EB60CBD" w:rsidR="00512865" w:rsidRPr="00512865" w:rsidRDefault="006D51BC" w:rsidP="00512865">
      <w:pPr>
        <w:numPr>
          <w:ilvl w:val="0"/>
          <w:numId w:val="32"/>
        </w:numPr>
        <w:spacing w:before="120" w:line="264" w:lineRule="auto"/>
        <w:rPr>
          <w:szCs w:val="24"/>
          <w:lang w:eastAsia="en-AU"/>
        </w:rPr>
      </w:pPr>
      <w:hyperlink r:id="rId10" w:history="1">
        <w:r w:rsidR="00512865" w:rsidRPr="00DC7811">
          <w:rPr>
            <w:rStyle w:val="Hyperlink"/>
            <w:rFonts w:eastAsia="Arial" w:cs="Times New Roman"/>
            <w:szCs w:val="24"/>
            <w:lang w:eastAsia="en-AU"/>
          </w:rPr>
          <w:t>Submission to Royal Commission into Aged Care Quality and Safety</w:t>
        </w:r>
      </w:hyperlink>
      <w:r w:rsidR="00512865" w:rsidRPr="00512865">
        <w:rPr>
          <w:rFonts w:eastAsia="Arial" w:cs="Times New Roman"/>
          <w:szCs w:val="24"/>
          <w:lang w:eastAsia="en-AU"/>
        </w:rPr>
        <w:t xml:space="preserve"> (January 2020)</w:t>
      </w:r>
    </w:p>
    <w:p w14:paraId="0D2DABD8" w14:textId="1B21CD50" w:rsidR="00512865" w:rsidRPr="00512865" w:rsidRDefault="006D51BC" w:rsidP="00512865">
      <w:pPr>
        <w:numPr>
          <w:ilvl w:val="0"/>
          <w:numId w:val="32"/>
        </w:numPr>
        <w:spacing w:before="120" w:line="264" w:lineRule="auto"/>
        <w:rPr>
          <w:szCs w:val="24"/>
          <w:lang w:eastAsia="en-AU"/>
        </w:rPr>
      </w:pPr>
      <w:hyperlink r:id="rId11" w:history="1">
        <w:r w:rsidR="00512865" w:rsidRPr="00CF3A4E">
          <w:rPr>
            <w:rStyle w:val="Hyperlink"/>
            <w:rFonts w:eastAsia="Arial" w:cs="Times New Roman"/>
            <w:szCs w:val="24"/>
            <w:lang w:eastAsia="en-AU"/>
          </w:rPr>
          <w:t>Review of Aged Care Workforce Regulation</w:t>
        </w:r>
      </w:hyperlink>
      <w:r w:rsidR="00512865" w:rsidRPr="00512865">
        <w:rPr>
          <w:rFonts w:eastAsia="Arial" w:cs="Times New Roman"/>
          <w:szCs w:val="24"/>
          <w:lang w:eastAsia="en-AU"/>
        </w:rPr>
        <w:t xml:space="preserve"> (Department of Health, June 2020)</w:t>
      </w:r>
    </w:p>
    <w:p w14:paraId="2C262AA7" w14:textId="7E0FE791" w:rsidR="00512865" w:rsidRPr="00512865" w:rsidRDefault="006D51BC" w:rsidP="00512865">
      <w:pPr>
        <w:numPr>
          <w:ilvl w:val="0"/>
          <w:numId w:val="32"/>
        </w:numPr>
        <w:spacing w:before="120" w:line="264" w:lineRule="auto"/>
        <w:rPr>
          <w:szCs w:val="24"/>
          <w:lang w:eastAsia="en-AU"/>
        </w:rPr>
      </w:pPr>
      <w:hyperlink r:id="rId12" w:history="1">
        <w:r w:rsidR="00512865" w:rsidRPr="008E40E7">
          <w:rPr>
            <w:rStyle w:val="Hyperlink"/>
            <w:rFonts w:eastAsia="Arial" w:cs="Times New Roman"/>
            <w:szCs w:val="24"/>
            <w:lang w:eastAsia="en-AU"/>
          </w:rPr>
          <w:t>National Injury Prevention Strategy: 2020-2030</w:t>
        </w:r>
      </w:hyperlink>
      <w:r w:rsidR="00512865" w:rsidRPr="00512865">
        <w:rPr>
          <w:rFonts w:eastAsia="Arial" w:cs="Times New Roman"/>
          <w:szCs w:val="24"/>
          <w:lang w:eastAsia="en-AU"/>
        </w:rPr>
        <w:t xml:space="preserve"> (Department of Health, June 2020)</w:t>
      </w:r>
    </w:p>
    <w:p w14:paraId="4F3F1073" w14:textId="4E9F32C0" w:rsidR="00512865" w:rsidRPr="00512865" w:rsidRDefault="006D51BC" w:rsidP="00512865">
      <w:pPr>
        <w:numPr>
          <w:ilvl w:val="0"/>
          <w:numId w:val="32"/>
        </w:numPr>
        <w:spacing w:before="120" w:line="264" w:lineRule="auto"/>
        <w:rPr>
          <w:szCs w:val="24"/>
          <w:lang w:eastAsia="en-AU"/>
        </w:rPr>
      </w:pPr>
      <w:hyperlink r:id="rId13" w:history="1">
        <w:r w:rsidR="00512865" w:rsidRPr="0095059E">
          <w:rPr>
            <w:rStyle w:val="Hyperlink"/>
            <w:rFonts w:eastAsia="Arial" w:cs="Times New Roman"/>
            <w:szCs w:val="24"/>
            <w:lang w:eastAsia="en-AU"/>
          </w:rPr>
          <w:t>Aged care system governance, market management and roles and responsibilities</w:t>
        </w:r>
      </w:hyperlink>
      <w:r w:rsidR="00512865" w:rsidRPr="00512865">
        <w:rPr>
          <w:rFonts w:eastAsia="Arial" w:cs="Times New Roman"/>
          <w:szCs w:val="24"/>
          <w:lang w:eastAsia="en-AU"/>
        </w:rPr>
        <w:t xml:space="preserve"> (Royal Commission into Aged Care Quality and Safety, July 202</w:t>
      </w:r>
      <w:r w:rsidR="0072368E">
        <w:rPr>
          <w:rFonts w:eastAsia="Arial" w:cs="Times New Roman"/>
          <w:szCs w:val="24"/>
          <w:lang w:eastAsia="en-AU"/>
        </w:rPr>
        <w:t>0)</w:t>
      </w:r>
    </w:p>
    <w:p w14:paraId="4166E611" w14:textId="617D1CA3" w:rsidR="00512865" w:rsidRPr="00512865" w:rsidRDefault="006D51BC" w:rsidP="00512865">
      <w:pPr>
        <w:numPr>
          <w:ilvl w:val="0"/>
          <w:numId w:val="32"/>
        </w:numPr>
        <w:spacing w:before="120" w:line="264" w:lineRule="auto"/>
        <w:rPr>
          <w:szCs w:val="24"/>
          <w:lang w:eastAsia="en-AU"/>
        </w:rPr>
      </w:pPr>
      <w:hyperlink r:id="rId14" w:history="1">
        <w:r w:rsidR="00512865" w:rsidRPr="00CA2CB3">
          <w:rPr>
            <w:rStyle w:val="Hyperlink"/>
            <w:rFonts w:eastAsia="Arial" w:cs="Times New Roman"/>
            <w:szCs w:val="24"/>
            <w:lang w:eastAsia="en-AU"/>
          </w:rPr>
          <w:t>Draft Indigenous Evaluation Strategy</w:t>
        </w:r>
      </w:hyperlink>
      <w:r w:rsidR="00512865" w:rsidRPr="00512865">
        <w:rPr>
          <w:rFonts w:eastAsia="Arial" w:cs="Times New Roman"/>
          <w:szCs w:val="24"/>
          <w:lang w:eastAsia="en-AU"/>
        </w:rPr>
        <w:t xml:space="preserve"> (Productivity Commission, August 2020)</w:t>
      </w:r>
    </w:p>
    <w:p w14:paraId="2394EF4C" w14:textId="3470B696" w:rsidR="00512865" w:rsidRPr="00512865" w:rsidRDefault="006D51BC" w:rsidP="00512865">
      <w:pPr>
        <w:numPr>
          <w:ilvl w:val="0"/>
          <w:numId w:val="32"/>
        </w:numPr>
        <w:spacing w:before="120" w:line="264" w:lineRule="auto"/>
        <w:rPr>
          <w:color w:val="000000" w:themeColor="text1"/>
          <w:szCs w:val="24"/>
          <w:lang w:eastAsia="en-AU"/>
        </w:rPr>
      </w:pPr>
      <w:hyperlink r:id="rId15" w:history="1">
        <w:r w:rsidR="00512865" w:rsidRPr="00EB45D2">
          <w:rPr>
            <w:rStyle w:val="Hyperlink"/>
            <w:rFonts w:eastAsia="Arial" w:cs="Times New Roman"/>
            <w:szCs w:val="24"/>
            <w:lang w:eastAsia="en-AU"/>
          </w:rPr>
          <w:t>Revised Outreach Service Delivery Standards and Reporting Template</w:t>
        </w:r>
      </w:hyperlink>
      <w:r w:rsidR="00512865" w:rsidRPr="00512865">
        <w:rPr>
          <w:rFonts w:eastAsia="Arial" w:cs="Times New Roman"/>
          <w:szCs w:val="24"/>
          <w:lang w:eastAsia="en-AU"/>
        </w:rPr>
        <w:t xml:space="preserve"> (Department of Health, August 2020) </w:t>
      </w:r>
    </w:p>
    <w:p w14:paraId="23ACF746" w14:textId="44196DA8" w:rsidR="00512865" w:rsidRPr="00512865" w:rsidRDefault="006D51BC" w:rsidP="00512865">
      <w:pPr>
        <w:numPr>
          <w:ilvl w:val="0"/>
          <w:numId w:val="32"/>
        </w:numPr>
        <w:spacing w:before="120" w:line="264" w:lineRule="auto"/>
        <w:rPr>
          <w:color w:val="000000" w:themeColor="text1"/>
          <w:szCs w:val="24"/>
          <w:lang w:eastAsia="en-AU"/>
        </w:rPr>
      </w:pPr>
      <w:hyperlink r:id="rId16" w:history="1">
        <w:r w:rsidR="00512865" w:rsidRPr="00A63A32">
          <w:rPr>
            <w:rStyle w:val="Hyperlink"/>
            <w:rFonts w:eastAsia="Arial" w:cs="Times New Roman"/>
            <w:szCs w:val="24"/>
            <w:lang w:eastAsia="en-AU"/>
          </w:rPr>
          <w:t>Review of NDIA Support Coordination Servic</w:t>
        </w:r>
        <w:r w:rsidR="00512865" w:rsidRPr="00A63A32">
          <w:rPr>
            <w:rStyle w:val="Hyperlink"/>
            <w:szCs w:val="24"/>
            <w:lang w:eastAsia="en-AU"/>
          </w:rPr>
          <w:t>e Model</w:t>
        </w:r>
      </w:hyperlink>
      <w:r w:rsidR="00512865" w:rsidRPr="00512865">
        <w:rPr>
          <w:szCs w:val="24"/>
          <w:lang w:eastAsia="en-AU"/>
        </w:rPr>
        <w:t xml:space="preserve"> (National Disability Insurance Agency, September 2020)</w:t>
      </w:r>
    </w:p>
    <w:p w14:paraId="3D9708E7" w14:textId="73678964" w:rsidR="00512865" w:rsidRPr="00512865" w:rsidRDefault="006D51BC" w:rsidP="00512865">
      <w:pPr>
        <w:numPr>
          <w:ilvl w:val="0"/>
          <w:numId w:val="32"/>
        </w:numPr>
        <w:spacing w:before="120" w:line="264" w:lineRule="auto"/>
        <w:rPr>
          <w:szCs w:val="24"/>
          <w:lang w:eastAsia="en-AU"/>
        </w:rPr>
      </w:pPr>
      <w:hyperlink r:id="rId17" w:history="1">
        <w:r w:rsidR="00512865" w:rsidRPr="00E116ED">
          <w:rPr>
            <w:rStyle w:val="Hyperlink"/>
            <w:rFonts w:eastAsia="Arial" w:cs="Times New Roman"/>
            <w:szCs w:val="24"/>
            <w:lang w:eastAsia="en-AU"/>
          </w:rPr>
          <w:t>First Nations Peoples with disability – blindness and low vision p</w:t>
        </w:r>
        <w:r w:rsidR="00512865" w:rsidRPr="00E116ED">
          <w:rPr>
            <w:rStyle w:val="Hyperlink"/>
            <w:szCs w:val="24"/>
            <w:lang w:eastAsia="en-AU"/>
          </w:rPr>
          <w:t>erspectives</w:t>
        </w:r>
      </w:hyperlink>
      <w:r w:rsidR="00512865" w:rsidRPr="00512865">
        <w:rPr>
          <w:szCs w:val="24"/>
          <w:lang w:eastAsia="en-AU"/>
        </w:rPr>
        <w:t xml:space="preserve"> </w:t>
      </w:r>
      <w:r w:rsidR="00512865" w:rsidRPr="00512865">
        <w:rPr>
          <w:rFonts w:eastAsia="Arial" w:cs="Times New Roman"/>
          <w:szCs w:val="24"/>
          <w:lang w:eastAsia="en-AU"/>
        </w:rPr>
        <w:t>(Disability Royal Commission, September</w:t>
      </w:r>
      <w:r w:rsidR="00512865" w:rsidRPr="00512865">
        <w:rPr>
          <w:szCs w:val="24"/>
          <w:lang w:eastAsia="en-AU"/>
        </w:rPr>
        <w:t xml:space="preserve"> 2020)</w:t>
      </w:r>
    </w:p>
    <w:p w14:paraId="663D62E7" w14:textId="54D94F93" w:rsidR="00512865" w:rsidRPr="00512865" w:rsidRDefault="006D51BC" w:rsidP="00512865">
      <w:pPr>
        <w:numPr>
          <w:ilvl w:val="0"/>
          <w:numId w:val="32"/>
        </w:numPr>
        <w:spacing w:before="120" w:line="264" w:lineRule="auto"/>
        <w:rPr>
          <w:rFonts w:eastAsia="Times New Roman" w:cs="Times New Roman"/>
          <w:szCs w:val="24"/>
          <w:lang w:eastAsia="en-AU"/>
        </w:rPr>
      </w:pPr>
      <w:hyperlink r:id="rId18" w:history="1">
        <w:r w:rsidR="00512865" w:rsidRPr="00224AFF">
          <w:rPr>
            <w:rStyle w:val="Hyperlink"/>
            <w:rFonts w:eastAsia="Arial" w:cs="Times New Roman"/>
            <w:szCs w:val="24"/>
            <w:lang w:eastAsia="en-AU"/>
          </w:rPr>
          <w:t>National Preventive Health Strategy</w:t>
        </w:r>
      </w:hyperlink>
      <w:r w:rsidR="00512865" w:rsidRPr="00512865">
        <w:rPr>
          <w:rFonts w:eastAsia="Arial" w:cs="Times New Roman"/>
          <w:szCs w:val="24"/>
          <w:lang w:eastAsia="en-AU"/>
        </w:rPr>
        <w:t xml:space="preserve"> (Department of Health, September 2020)</w:t>
      </w:r>
    </w:p>
    <w:p w14:paraId="5C0821B7" w14:textId="73233C29" w:rsidR="00512865" w:rsidRPr="00512865" w:rsidRDefault="006D51BC" w:rsidP="00512865">
      <w:pPr>
        <w:numPr>
          <w:ilvl w:val="0"/>
          <w:numId w:val="32"/>
        </w:numPr>
        <w:spacing w:before="120" w:line="264" w:lineRule="auto"/>
        <w:rPr>
          <w:rFonts w:eastAsia="Times New Roman" w:cs="Times New Roman"/>
          <w:lang w:eastAsia="en-AU"/>
        </w:rPr>
      </w:pPr>
      <w:hyperlink r:id="rId19" w:history="1">
        <w:r w:rsidR="00512865" w:rsidRPr="00F91F25">
          <w:rPr>
            <w:rStyle w:val="Hyperlink"/>
            <w:rFonts w:cs="Times New Roman"/>
            <w:szCs w:val="24"/>
            <w:lang w:eastAsia="en-AU"/>
          </w:rPr>
          <w:t>Third Australian Medical Research and Innovation Priorities 2020-2022</w:t>
        </w:r>
      </w:hyperlink>
      <w:r w:rsidR="00512865" w:rsidRPr="00512865">
        <w:rPr>
          <w:rFonts w:cs="Times New Roman"/>
          <w:szCs w:val="24"/>
          <w:lang w:eastAsia="en-AU"/>
        </w:rPr>
        <w:t xml:space="preserve"> (Department of Health, October 2020)</w:t>
      </w:r>
    </w:p>
    <w:p w14:paraId="3F02559A" w14:textId="60D53C81" w:rsidR="00512865" w:rsidRPr="00512865" w:rsidRDefault="006D51BC" w:rsidP="00512865">
      <w:pPr>
        <w:numPr>
          <w:ilvl w:val="0"/>
          <w:numId w:val="32"/>
        </w:numPr>
        <w:spacing w:before="120" w:line="264" w:lineRule="auto"/>
        <w:rPr>
          <w:rFonts w:eastAsia="Times New Roman" w:cs="Times New Roman"/>
          <w:lang w:eastAsia="en-AU"/>
        </w:rPr>
      </w:pPr>
      <w:hyperlink r:id="rId20" w:history="1">
        <w:r w:rsidR="00512865" w:rsidRPr="00CA1854">
          <w:rPr>
            <w:rStyle w:val="Hyperlink"/>
            <w:rFonts w:cs="Times New Roman"/>
            <w:szCs w:val="24"/>
            <w:lang w:eastAsia="en-AU"/>
          </w:rPr>
          <w:t xml:space="preserve">A </w:t>
        </w:r>
        <w:r w:rsidR="007C30BE">
          <w:rPr>
            <w:rStyle w:val="Hyperlink"/>
            <w:rFonts w:cs="Times New Roman"/>
            <w:szCs w:val="24"/>
            <w:lang w:eastAsia="en-AU"/>
          </w:rPr>
          <w:t>n</w:t>
        </w:r>
        <w:r w:rsidR="00512865" w:rsidRPr="00CA1854">
          <w:rPr>
            <w:rStyle w:val="Hyperlink"/>
            <w:rFonts w:cs="Times New Roman"/>
            <w:szCs w:val="24"/>
            <w:lang w:eastAsia="en-AU"/>
          </w:rPr>
          <w:t>ew National Disability Strategy</w:t>
        </w:r>
      </w:hyperlink>
      <w:r w:rsidR="00512865" w:rsidRPr="00512865">
        <w:rPr>
          <w:rFonts w:cs="Times New Roman"/>
          <w:szCs w:val="24"/>
          <w:lang w:eastAsia="en-AU"/>
        </w:rPr>
        <w:t xml:space="preserve"> (Department of Social Services, October 2020)</w:t>
      </w:r>
    </w:p>
    <w:p w14:paraId="579AD2E7" w14:textId="77777777" w:rsidR="00512865" w:rsidRPr="00512865" w:rsidRDefault="00512865" w:rsidP="00512865">
      <w:pPr>
        <w:numPr>
          <w:ilvl w:val="0"/>
          <w:numId w:val="32"/>
        </w:numPr>
        <w:spacing w:before="120" w:line="264" w:lineRule="auto"/>
        <w:rPr>
          <w:rFonts w:eastAsia="Times New Roman" w:cs="Times New Roman"/>
          <w:lang w:eastAsia="en-AU"/>
        </w:rPr>
      </w:pPr>
      <w:r w:rsidRPr="00512865">
        <w:rPr>
          <w:rFonts w:cs="Times New Roman"/>
          <w:szCs w:val="24"/>
          <w:lang w:eastAsia="en-AU"/>
        </w:rPr>
        <w:t>Review of Guidelines for Preventive Activities in General Practice, 9th Ed (Royal Australasian College of General Practitioners, November 2020).</w:t>
      </w:r>
    </w:p>
    <w:p w14:paraId="6999DF94" w14:textId="77777777" w:rsidR="00512865" w:rsidRPr="00512865" w:rsidRDefault="00512865" w:rsidP="00512865">
      <w:pPr>
        <w:spacing w:before="120" w:line="264" w:lineRule="auto"/>
        <w:rPr>
          <w:rFonts w:eastAsia="Times New Roman" w:cs="Times New Roman"/>
          <w:lang w:eastAsia="en-AU"/>
        </w:rPr>
      </w:pPr>
      <w:r w:rsidRPr="00512865">
        <w:rPr>
          <w:rFonts w:eastAsia="Times New Roman" w:cs="Times New Roman"/>
          <w:lang w:eastAsia="en-AU"/>
        </w:rPr>
        <w:t>In addition, Vision 2020 Australia and its members finalised:</w:t>
      </w:r>
    </w:p>
    <w:p w14:paraId="4F230DAD" w14:textId="4943FC16" w:rsidR="00512865" w:rsidRPr="00512865" w:rsidRDefault="006D51BC" w:rsidP="00512865">
      <w:pPr>
        <w:numPr>
          <w:ilvl w:val="0"/>
          <w:numId w:val="29"/>
        </w:numPr>
        <w:spacing w:before="120" w:line="264" w:lineRule="auto"/>
        <w:rPr>
          <w:rFonts w:eastAsia="Times New Roman" w:cs="Times New Roman"/>
          <w:lang w:eastAsia="en-AU"/>
        </w:rPr>
      </w:pPr>
      <w:hyperlink r:id="rId21" w:history="1">
        <w:r w:rsidR="00512865" w:rsidRPr="0084171C">
          <w:rPr>
            <w:rStyle w:val="Hyperlink"/>
            <w:rFonts w:eastAsia="Times New Roman" w:cs="Times New Roman"/>
            <w:lang w:eastAsia="en-AU"/>
          </w:rPr>
          <w:t>The Adult Referral Pathway for Blindness and Low Vision Services</w:t>
        </w:r>
      </w:hyperlink>
    </w:p>
    <w:p w14:paraId="0ED088AE" w14:textId="77777777" w:rsidR="00512865" w:rsidRPr="00512865" w:rsidRDefault="00512865" w:rsidP="00512865">
      <w:pPr>
        <w:numPr>
          <w:ilvl w:val="0"/>
          <w:numId w:val="29"/>
        </w:numPr>
        <w:spacing w:before="120" w:line="264" w:lineRule="auto"/>
        <w:rPr>
          <w:rFonts w:eastAsia="Times New Roman" w:cs="Times New Roman"/>
          <w:lang w:eastAsia="en-AU"/>
        </w:rPr>
      </w:pPr>
      <w:r w:rsidRPr="00512865">
        <w:rPr>
          <w:rFonts w:eastAsia="Times New Roman" w:cs="Times New Roman"/>
          <w:lang w:eastAsia="en-AU"/>
        </w:rPr>
        <w:t>A Position Statement on proposed establishment of NDIA Independent Assessments</w:t>
      </w:r>
    </w:p>
    <w:p w14:paraId="71184516" w14:textId="77777777" w:rsidR="00512865" w:rsidRPr="00512865" w:rsidRDefault="00512865" w:rsidP="00512865">
      <w:pPr>
        <w:spacing w:before="120" w:after="120" w:line="264" w:lineRule="auto"/>
        <w:rPr>
          <w:rFonts w:eastAsiaTheme="minorHAnsi" w:cs="Times New Roman"/>
          <w:szCs w:val="24"/>
          <w:lang w:eastAsia="en-AU"/>
        </w:rPr>
      </w:pPr>
      <w:r w:rsidRPr="00512865">
        <w:rPr>
          <w:rFonts w:eastAsiaTheme="minorHAnsi" w:cs="Times New Roman"/>
          <w:szCs w:val="24"/>
          <w:lang w:eastAsia="en-AU"/>
        </w:rPr>
        <w:t>Over 2020, work also progressed in several areas to strengthen both the existing sector evidence base and build a stronger case for research investment in eye health and vision:</w:t>
      </w:r>
    </w:p>
    <w:p w14:paraId="4B1F60F1" w14:textId="77777777" w:rsidR="00512865" w:rsidRPr="00512865" w:rsidRDefault="00512865" w:rsidP="00512865">
      <w:pPr>
        <w:numPr>
          <w:ilvl w:val="0"/>
          <w:numId w:val="33"/>
        </w:numPr>
        <w:spacing w:before="120" w:line="264" w:lineRule="auto"/>
        <w:rPr>
          <w:rFonts w:cs="Times New Roman"/>
          <w:szCs w:val="24"/>
          <w:lang w:eastAsia="en-AU"/>
        </w:rPr>
      </w:pPr>
      <w:r w:rsidRPr="00512865">
        <w:rPr>
          <w:rFonts w:cs="Times New Roman"/>
          <w:szCs w:val="24"/>
          <w:lang w:eastAsia="en-AU"/>
        </w:rPr>
        <w:t>Commissioned research regarding public cataract surgery data (awaiting public release)</w:t>
      </w:r>
    </w:p>
    <w:p w14:paraId="0554318A" w14:textId="0ED60A61" w:rsidR="00512865" w:rsidRPr="00512865" w:rsidRDefault="00512865" w:rsidP="00512865">
      <w:pPr>
        <w:numPr>
          <w:ilvl w:val="0"/>
          <w:numId w:val="33"/>
        </w:numPr>
        <w:spacing w:before="120" w:line="264" w:lineRule="auto"/>
        <w:rPr>
          <w:rFonts w:cs="Times New Roman"/>
          <w:szCs w:val="24"/>
          <w:lang w:eastAsia="en-AU"/>
        </w:rPr>
      </w:pPr>
      <w:r w:rsidRPr="00512865">
        <w:rPr>
          <w:rFonts w:cs="Times New Roman"/>
          <w:szCs w:val="24"/>
          <w:lang w:eastAsia="en-AU"/>
        </w:rPr>
        <w:lastRenderedPageBreak/>
        <w:t xml:space="preserve">Initial work to support development of a </w:t>
      </w:r>
      <w:r w:rsidRPr="00512865">
        <w:rPr>
          <w:rFonts w:cs="Times New Roman"/>
          <w:bCs/>
          <w:szCs w:val="24"/>
          <w:lang w:eastAsia="en-AU"/>
        </w:rPr>
        <w:t>proposed eye research collaborative</w:t>
      </w:r>
      <w:r w:rsidRPr="00512865">
        <w:rPr>
          <w:rFonts w:cs="Times New Roman"/>
          <w:szCs w:val="24"/>
          <w:lang w:eastAsia="en-AU"/>
        </w:rPr>
        <w:t xml:space="preserve">, that will bring together all interested parties to develop sector priorities for research, inform future submissions to government on research priorities and strengthen advocacy around the case for expanding support for ophthalmic research. </w:t>
      </w:r>
    </w:p>
    <w:p w14:paraId="09FD319C" w14:textId="77777777" w:rsidR="00512865" w:rsidRPr="00512865" w:rsidRDefault="00512865" w:rsidP="00512865">
      <w:pPr>
        <w:pStyle w:val="Heading1"/>
        <w:numPr>
          <w:ilvl w:val="0"/>
          <w:numId w:val="0"/>
        </w:numPr>
        <w:rPr>
          <w:rFonts w:eastAsiaTheme="minorHAnsi"/>
        </w:rPr>
      </w:pPr>
      <w:r w:rsidRPr="00512865">
        <w:rPr>
          <w:rFonts w:eastAsiaTheme="minorHAnsi"/>
        </w:rPr>
        <w:t>Member events and engagement</w:t>
      </w:r>
    </w:p>
    <w:p w14:paraId="5164E32C" w14:textId="5BD3814C" w:rsidR="00512865" w:rsidRPr="00512865" w:rsidRDefault="00512865" w:rsidP="00512865">
      <w:pPr>
        <w:spacing w:before="120" w:after="120" w:line="264" w:lineRule="auto"/>
        <w:rPr>
          <w:rFonts w:eastAsiaTheme="minorHAnsi" w:cs="Times New Roman"/>
          <w:szCs w:val="24"/>
          <w:lang w:eastAsia="en-AU"/>
        </w:rPr>
      </w:pPr>
      <w:r w:rsidRPr="00512865">
        <w:rPr>
          <w:rFonts w:eastAsiaTheme="minorHAnsi" w:cs="Times New Roman"/>
          <w:szCs w:val="24"/>
          <w:lang w:eastAsia="en-AU"/>
        </w:rPr>
        <w:t xml:space="preserve">Parliamentary Friends Group events planned for March and September were cancelled due to COVID-19, as well as the CEO Strategy Day (also scheduled for late March). </w:t>
      </w:r>
    </w:p>
    <w:p w14:paraId="266BDCFD" w14:textId="77777777" w:rsidR="00512865" w:rsidRPr="00512865" w:rsidRDefault="00512865" w:rsidP="00512865">
      <w:pPr>
        <w:spacing w:before="120" w:after="120" w:line="264" w:lineRule="auto"/>
        <w:rPr>
          <w:rFonts w:eastAsiaTheme="minorHAnsi" w:cs="Times New Roman"/>
          <w:szCs w:val="24"/>
          <w:lang w:eastAsia="en-AU"/>
        </w:rPr>
      </w:pPr>
      <w:r w:rsidRPr="00512865">
        <w:rPr>
          <w:rFonts w:eastAsiaTheme="minorHAnsi" w:cs="Times New Roman"/>
          <w:szCs w:val="24"/>
          <w:lang w:eastAsia="en-AU"/>
        </w:rPr>
        <w:t>There were however some virtual member events held, including:</w:t>
      </w:r>
    </w:p>
    <w:p w14:paraId="74FA02E3" w14:textId="69CDD40D" w:rsidR="00D36703" w:rsidRDefault="00D36703" w:rsidP="00D36703">
      <w:pPr>
        <w:pStyle w:val="BodyText"/>
        <w:numPr>
          <w:ilvl w:val="0"/>
          <w:numId w:val="35"/>
        </w:numPr>
      </w:pPr>
      <w:r>
        <w:t xml:space="preserve">The </w:t>
      </w:r>
      <w:hyperlink r:id="rId22" w:history="1">
        <w:r w:rsidRPr="00E17CE0">
          <w:rPr>
            <w:rStyle w:val="Hyperlink"/>
          </w:rPr>
          <w:t>Inaugural Barry Jones Vision Oration</w:t>
        </w:r>
      </w:hyperlink>
      <w:r>
        <w:rPr>
          <w:b/>
          <w:bCs/>
        </w:rPr>
        <w:t xml:space="preserve"> </w:t>
      </w:r>
      <w:r>
        <w:t xml:space="preserve">was held via a national webinar. Named in honour of The Hon Professor Barry Jones AC, Vision 2020 Australia’s patron and </w:t>
      </w:r>
      <w:proofErr w:type="gramStart"/>
      <w:r>
        <w:t>long term</w:t>
      </w:r>
      <w:proofErr w:type="gramEnd"/>
      <w:r>
        <w:t xml:space="preserve"> Chair, the oration was delivered Dr James Muecke AM, ophthalmologist and Australian of the Year to a large and diverse audience. </w:t>
      </w:r>
    </w:p>
    <w:p w14:paraId="7069C6D0" w14:textId="5EB6B5B4" w:rsidR="00512865" w:rsidRPr="00512865" w:rsidRDefault="00275BB9" w:rsidP="00627B04">
      <w:pPr>
        <w:pStyle w:val="BodyText"/>
        <w:numPr>
          <w:ilvl w:val="0"/>
          <w:numId w:val="35"/>
        </w:numPr>
        <w:rPr>
          <w:rFonts w:eastAsiaTheme="minorEastAsia"/>
        </w:rPr>
      </w:pPr>
      <w:r>
        <w:rPr>
          <w:rFonts w:eastAsiaTheme="minorEastAsia"/>
        </w:rPr>
        <w:t>A</w:t>
      </w:r>
      <w:r w:rsidR="00512865" w:rsidRPr="00512865">
        <w:rPr>
          <w:rFonts w:eastAsiaTheme="minorEastAsia"/>
        </w:rPr>
        <w:t xml:space="preserve"> </w:t>
      </w:r>
      <w:r w:rsidR="00512865" w:rsidRPr="00D36703">
        <w:rPr>
          <w:rFonts w:eastAsiaTheme="minorEastAsia"/>
        </w:rPr>
        <w:t>member only webinar</w:t>
      </w:r>
      <w:r w:rsidR="00512865" w:rsidRPr="00512865">
        <w:rPr>
          <w:rFonts w:eastAsiaTheme="minorEastAsia"/>
        </w:rPr>
        <w:t xml:space="preserve"> regarding the Second National Eye Health Survey, attended by more than 60 participants from member organisations.</w:t>
      </w:r>
    </w:p>
    <w:p w14:paraId="24FD1FB0" w14:textId="77777777" w:rsidR="00512865" w:rsidRPr="00512865" w:rsidRDefault="00512865" w:rsidP="00512865">
      <w:pPr>
        <w:spacing w:before="120" w:after="120" w:line="264" w:lineRule="auto"/>
        <w:rPr>
          <w:rFonts w:eastAsiaTheme="minorHAnsi" w:cs="Times New Roman"/>
          <w:szCs w:val="24"/>
          <w:lang w:eastAsia="en-AU"/>
        </w:rPr>
      </w:pPr>
      <w:r w:rsidRPr="00512865">
        <w:rPr>
          <w:rFonts w:eastAsiaTheme="minorHAnsi" w:cs="Times New Roman"/>
          <w:szCs w:val="24"/>
          <w:lang w:eastAsia="en-AU"/>
        </w:rPr>
        <w:t xml:space="preserve">While we look forward to resuming face to face events in 2021, we will likely supplement these with virtual events to provide members with a range of opportunities to connect with current and emerging issues across the sector. </w:t>
      </w:r>
    </w:p>
    <w:p w14:paraId="1DB55BCF" w14:textId="669129BF" w:rsidR="00512865" w:rsidRPr="00512865" w:rsidRDefault="00512865" w:rsidP="00512865">
      <w:pPr>
        <w:spacing w:before="120" w:after="120" w:line="264" w:lineRule="auto"/>
        <w:rPr>
          <w:rFonts w:cs="Times New Roman"/>
          <w:szCs w:val="24"/>
          <w:lang w:eastAsia="en-AU"/>
        </w:rPr>
      </w:pPr>
      <w:r w:rsidRPr="00512865">
        <w:rPr>
          <w:rFonts w:cs="Times New Roman"/>
          <w:szCs w:val="24"/>
          <w:lang w:eastAsia="en-AU"/>
        </w:rPr>
        <w:t xml:space="preserve">Vision 2020 Australia conducted two surveys of members </w:t>
      </w:r>
      <w:r w:rsidR="0072368E">
        <w:rPr>
          <w:rFonts w:cs="Times New Roman"/>
          <w:szCs w:val="24"/>
          <w:lang w:eastAsia="en-AU"/>
        </w:rPr>
        <w:t>in</w:t>
      </w:r>
      <w:r w:rsidRPr="00512865">
        <w:rPr>
          <w:rFonts w:cs="Times New Roman"/>
          <w:szCs w:val="24"/>
          <w:lang w:eastAsia="en-AU"/>
        </w:rPr>
        <w:t xml:space="preserve"> 2020:</w:t>
      </w:r>
    </w:p>
    <w:p w14:paraId="518FE8DE" w14:textId="77777777" w:rsidR="00512865" w:rsidRPr="00512865" w:rsidRDefault="00512865" w:rsidP="00627B04">
      <w:pPr>
        <w:pStyle w:val="BodyText"/>
        <w:numPr>
          <w:ilvl w:val="0"/>
          <w:numId w:val="36"/>
        </w:numPr>
        <w:rPr>
          <w:rFonts w:eastAsiaTheme="minorEastAsia"/>
        </w:rPr>
      </w:pPr>
      <w:r w:rsidRPr="00512865">
        <w:rPr>
          <w:rFonts w:eastAsiaTheme="minorEastAsia"/>
        </w:rPr>
        <w:t>A survey of member CEOs/executive representatives was conducted in April 2020 to gauge the cross-sector impacts of the COVID-19 pandemic. While some responding organisations indicated the pandemic had seen an increase in demand for their services, the majority reported no change or a moderate reduction in demand. Around 80% of respondents reported establishment and/or expansion of remote working and/or teleservice models, with the majority reporting either redeployment and/or reductions in staffing. The majority of members anticipated some modest reduction in overall revenue for 2019-20 and 2020-21, with a small number anticipating that the impacts of the pandemic may be more significant in the 2020-21 financial year.</w:t>
      </w:r>
    </w:p>
    <w:p w14:paraId="18E5703B" w14:textId="77777777" w:rsidR="00512865" w:rsidRPr="00512865" w:rsidRDefault="00512865" w:rsidP="00627B04">
      <w:pPr>
        <w:pStyle w:val="BodyText"/>
        <w:numPr>
          <w:ilvl w:val="0"/>
          <w:numId w:val="36"/>
        </w:numPr>
        <w:rPr>
          <w:rFonts w:eastAsiaTheme="minorEastAsia"/>
        </w:rPr>
      </w:pPr>
      <w:r w:rsidRPr="00512865">
        <w:rPr>
          <w:rFonts w:eastAsiaTheme="minorEastAsia"/>
        </w:rPr>
        <w:t xml:space="preserve">The Biannual Vision 2020 Australia member survey, which covered a range of topics related to the role of the organisation and its context within the eye health and vision care sector. </w:t>
      </w:r>
      <w:r w:rsidRPr="00512865">
        <w:rPr>
          <w:rFonts w:eastAsia="Helvetica"/>
        </w:rPr>
        <w:t>The results will help the Vision 2020 Australia Board better understand how well it is meeting member expectations, and how it can consolidate and/or adapt the organisation’s efforts to best meet the needs and priorities of members.</w:t>
      </w:r>
    </w:p>
    <w:p w14:paraId="350F4A45" w14:textId="77777777" w:rsidR="00512865" w:rsidRPr="00512865" w:rsidRDefault="00512865" w:rsidP="00627B04">
      <w:pPr>
        <w:pStyle w:val="Heading1"/>
        <w:numPr>
          <w:ilvl w:val="0"/>
          <w:numId w:val="0"/>
        </w:numPr>
        <w:rPr>
          <w:rFonts w:eastAsiaTheme="minorHAnsi"/>
        </w:rPr>
      </w:pPr>
      <w:r w:rsidRPr="00512865">
        <w:rPr>
          <w:rFonts w:eastAsiaTheme="minorHAnsi"/>
        </w:rPr>
        <w:t>Governance</w:t>
      </w:r>
    </w:p>
    <w:p w14:paraId="26A113CE" w14:textId="36CCDA55" w:rsidR="00512865" w:rsidRPr="00512865" w:rsidRDefault="00512865" w:rsidP="00512865">
      <w:pPr>
        <w:spacing w:before="120" w:after="120" w:line="264" w:lineRule="auto"/>
        <w:rPr>
          <w:rFonts w:cs="Times New Roman"/>
          <w:szCs w:val="24"/>
          <w:lang w:eastAsia="en-AU"/>
        </w:rPr>
      </w:pPr>
      <w:r w:rsidRPr="00512865">
        <w:rPr>
          <w:rFonts w:cs="Times New Roman"/>
          <w:szCs w:val="24"/>
          <w:lang w:eastAsia="en-AU"/>
        </w:rPr>
        <w:t xml:space="preserve">The Vision 2020 Australia Board met six times </w:t>
      </w:r>
      <w:r w:rsidR="0072368E">
        <w:rPr>
          <w:rFonts w:cs="Times New Roman"/>
          <w:szCs w:val="24"/>
          <w:lang w:eastAsia="en-AU"/>
        </w:rPr>
        <w:t>in</w:t>
      </w:r>
      <w:r w:rsidRPr="00512865">
        <w:rPr>
          <w:rFonts w:cs="Times New Roman"/>
          <w:szCs w:val="24"/>
          <w:lang w:eastAsia="en-AU"/>
        </w:rPr>
        <w:t xml:space="preserve"> 2020, with additional meetings scheduled to manage COVID-19 related issues for the organisation and the sector. Board committees and working groups met a total of 10 times over the period.</w:t>
      </w:r>
    </w:p>
    <w:p w14:paraId="0C819E68" w14:textId="5F781A60" w:rsidR="00512865" w:rsidRPr="00512865" w:rsidRDefault="00512865" w:rsidP="00512865">
      <w:pPr>
        <w:spacing w:before="120" w:after="120" w:line="264" w:lineRule="auto"/>
        <w:rPr>
          <w:rFonts w:eastAsiaTheme="minorHAnsi" w:cs="Times New Roman"/>
          <w:szCs w:val="24"/>
          <w:lang w:eastAsia="en-AU"/>
        </w:rPr>
      </w:pPr>
      <w:r w:rsidRPr="00512865">
        <w:rPr>
          <w:rFonts w:eastAsiaTheme="minorHAnsi" w:cs="Times New Roman"/>
          <w:szCs w:val="24"/>
          <w:lang w:eastAsia="en-AU"/>
        </w:rPr>
        <w:t xml:space="preserve">The 2020 Annual General Meeting marked a significant change in governance for the organisation, with </w:t>
      </w:r>
      <w:hyperlink r:id="rId23" w:history="1">
        <w:r w:rsidRPr="00806ADF">
          <w:rPr>
            <w:rStyle w:val="Hyperlink"/>
            <w:rFonts w:eastAsiaTheme="minorHAnsi" w:cs="Times New Roman"/>
            <w:szCs w:val="24"/>
            <w:lang w:eastAsia="en-AU"/>
          </w:rPr>
          <w:t>the retirement of the Hon Amanda Vanstone AO after six years as Board Chair</w:t>
        </w:r>
      </w:hyperlink>
      <w:r w:rsidRPr="00512865">
        <w:rPr>
          <w:rFonts w:eastAsiaTheme="minorHAnsi" w:cs="Times New Roman"/>
          <w:szCs w:val="24"/>
          <w:lang w:eastAsia="en-AU"/>
        </w:rPr>
        <w:t xml:space="preserve">, as well as the retirement of </w:t>
      </w:r>
      <w:r w:rsidR="00DC425A">
        <w:rPr>
          <w:rFonts w:eastAsiaTheme="minorHAnsi" w:cs="Times New Roman"/>
          <w:szCs w:val="24"/>
          <w:lang w:eastAsia="en-AU"/>
        </w:rPr>
        <w:t>B</w:t>
      </w:r>
      <w:r w:rsidRPr="00512865">
        <w:rPr>
          <w:rFonts w:eastAsiaTheme="minorHAnsi" w:cs="Times New Roman"/>
          <w:szCs w:val="24"/>
          <w:lang w:eastAsia="en-AU"/>
        </w:rPr>
        <w:t xml:space="preserve">oard Directors Dr David Andrews and Ms Megan McAlpine. </w:t>
      </w:r>
    </w:p>
    <w:p w14:paraId="63A6A3B7" w14:textId="7A2678B2" w:rsidR="00512865" w:rsidRPr="00512865" w:rsidRDefault="00512865" w:rsidP="00512865">
      <w:pPr>
        <w:spacing w:before="120" w:after="120" w:line="264" w:lineRule="auto"/>
        <w:rPr>
          <w:rFonts w:eastAsiaTheme="minorHAnsi" w:cs="Times New Roman"/>
          <w:szCs w:val="24"/>
          <w:lang w:eastAsia="en-AU"/>
        </w:rPr>
      </w:pPr>
      <w:r w:rsidRPr="00512865">
        <w:rPr>
          <w:rFonts w:eastAsiaTheme="minorHAnsi" w:cs="Times New Roman"/>
          <w:szCs w:val="24"/>
          <w:lang w:eastAsia="en-AU"/>
        </w:rPr>
        <w:t xml:space="preserve">The organisation was pleased to </w:t>
      </w:r>
      <w:hyperlink r:id="rId24" w:history="1">
        <w:r w:rsidRPr="00DE79B0">
          <w:rPr>
            <w:rStyle w:val="Hyperlink"/>
            <w:rFonts w:eastAsiaTheme="minorHAnsi" w:cs="Times New Roman"/>
            <w:szCs w:val="24"/>
            <w:lang w:eastAsia="en-AU"/>
          </w:rPr>
          <w:t>welcome the Hon Christopher Pyne as the new Board Chair</w:t>
        </w:r>
      </w:hyperlink>
      <w:r w:rsidRPr="00512865">
        <w:rPr>
          <w:rFonts w:eastAsiaTheme="minorHAnsi" w:cs="Times New Roman"/>
          <w:szCs w:val="24"/>
          <w:lang w:eastAsia="en-AU"/>
        </w:rPr>
        <w:t xml:space="preserve">, along with other new </w:t>
      </w:r>
      <w:r w:rsidR="002D492F">
        <w:rPr>
          <w:rFonts w:eastAsiaTheme="minorHAnsi" w:cs="Times New Roman"/>
          <w:szCs w:val="24"/>
          <w:lang w:eastAsia="en-AU"/>
        </w:rPr>
        <w:t>D</w:t>
      </w:r>
      <w:r w:rsidRPr="00512865">
        <w:rPr>
          <w:rFonts w:eastAsiaTheme="minorHAnsi" w:cs="Times New Roman"/>
          <w:szCs w:val="24"/>
          <w:lang w:eastAsia="en-AU"/>
        </w:rPr>
        <w:t>irectors A</w:t>
      </w:r>
      <w:r w:rsidR="0072368E">
        <w:rPr>
          <w:rFonts w:eastAsiaTheme="minorHAnsi" w:cs="Times New Roman"/>
          <w:szCs w:val="24"/>
          <w:lang w:eastAsia="en-AU"/>
        </w:rPr>
        <w:t>/</w:t>
      </w:r>
      <w:r w:rsidRPr="00512865">
        <w:rPr>
          <w:rFonts w:eastAsiaTheme="minorHAnsi" w:cs="Times New Roman"/>
          <w:szCs w:val="24"/>
          <w:lang w:eastAsia="en-AU"/>
        </w:rPr>
        <w:t xml:space="preserve">Prof Heather Mack, Jane Schuller and Shaun </w:t>
      </w:r>
      <w:proofErr w:type="spellStart"/>
      <w:r w:rsidRPr="00512865">
        <w:rPr>
          <w:rFonts w:eastAsiaTheme="minorHAnsi" w:cs="Times New Roman"/>
          <w:szCs w:val="24"/>
          <w:lang w:eastAsia="en-AU"/>
        </w:rPr>
        <w:t>Tatipata</w:t>
      </w:r>
      <w:proofErr w:type="spellEnd"/>
      <w:r w:rsidRPr="00512865">
        <w:rPr>
          <w:rFonts w:eastAsiaTheme="minorHAnsi" w:cs="Times New Roman"/>
          <w:szCs w:val="24"/>
          <w:lang w:eastAsia="en-AU"/>
        </w:rPr>
        <w:t xml:space="preserve"> and </w:t>
      </w:r>
      <w:r w:rsidRPr="00512865">
        <w:rPr>
          <w:rFonts w:eastAsiaTheme="minorHAnsi" w:cs="Times New Roman"/>
          <w:szCs w:val="24"/>
          <w:lang w:eastAsia="en-AU"/>
        </w:rPr>
        <w:lastRenderedPageBreak/>
        <w:t xml:space="preserve">returning </w:t>
      </w:r>
      <w:r w:rsidR="002D492F">
        <w:rPr>
          <w:rFonts w:eastAsiaTheme="minorHAnsi" w:cs="Times New Roman"/>
          <w:szCs w:val="24"/>
          <w:lang w:eastAsia="en-AU"/>
        </w:rPr>
        <w:t>D</w:t>
      </w:r>
      <w:r w:rsidRPr="00512865">
        <w:rPr>
          <w:rFonts w:eastAsiaTheme="minorHAnsi" w:cs="Times New Roman"/>
          <w:szCs w:val="24"/>
          <w:lang w:eastAsia="en-AU"/>
        </w:rPr>
        <w:t>irectors Jaki Adams-Barton, Dale Cleaver, Dr Jess Gallagher, Andrew Harris, Dee Hopkins, Maureen O’Keefe and Tony Starkey.</w:t>
      </w:r>
    </w:p>
    <w:p w14:paraId="0AE39C91" w14:textId="42C2664E" w:rsidR="00512865" w:rsidRPr="00512865" w:rsidRDefault="00512865" w:rsidP="00512865">
      <w:pPr>
        <w:rPr>
          <w:lang w:eastAsia="en-US"/>
        </w:rPr>
      </w:pPr>
      <w:r w:rsidRPr="00512865">
        <w:rPr>
          <w:lang w:eastAsia="en-US"/>
        </w:rPr>
        <w:t xml:space="preserve">The organisation continued to exercise strong, conservative financial management with </w:t>
      </w:r>
      <w:r w:rsidR="002C6111" w:rsidRPr="002C6111">
        <w:rPr>
          <w:lang w:eastAsia="en-US"/>
        </w:rPr>
        <w:t>the Board allocating surplus funds from the 2019-20 year to initiatives focussed on increasing the profile of and support for the sector</w:t>
      </w:r>
      <w:r w:rsidR="002C6111">
        <w:rPr>
          <w:lang w:eastAsia="en-US"/>
        </w:rPr>
        <w:t>.</w:t>
      </w:r>
      <w:r w:rsidRPr="00512865">
        <w:rPr>
          <w:lang w:eastAsia="en-US"/>
        </w:rPr>
        <w:t xml:space="preserve"> </w:t>
      </w:r>
    </w:p>
    <w:p w14:paraId="58FA2E88" w14:textId="77777777" w:rsidR="00512865" w:rsidRPr="00512865" w:rsidRDefault="00512865" w:rsidP="00512865">
      <w:pPr>
        <w:pStyle w:val="Heading1"/>
        <w:numPr>
          <w:ilvl w:val="0"/>
          <w:numId w:val="0"/>
        </w:numPr>
        <w:rPr>
          <w:rFonts w:eastAsiaTheme="minorHAnsi"/>
        </w:rPr>
      </w:pPr>
      <w:r w:rsidRPr="00512865">
        <w:rPr>
          <w:rFonts w:eastAsiaTheme="minorEastAsia"/>
        </w:rPr>
        <w:t>Victorian Vision Initiative</w:t>
      </w:r>
    </w:p>
    <w:p w14:paraId="10D7F8AB" w14:textId="40D4C9A6" w:rsidR="00512865" w:rsidRPr="00512865" w:rsidRDefault="00512865" w:rsidP="00512865">
      <w:pPr>
        <w:spacing w:before="120" w:after="120" w:line="264" w:lineRule="auto"/>
        <w:rPr>
          <w:rFonts w:eastAsia="Times New Roman" w:cs="Times New Roman"/>
          <w:szCs w:val="24"/>
          <w:lang w:eastAsia="en-AU"/>
        </w:rPr>
      </w:pPr>
      <w:r w:rsidRPr="00512865">
        <w:rPr>
          <w:rFonts w:eastAsia="Times New Roman" w:cs="Times New Roman"/>
          <w:szCs w:val="24"/>
          <w:lang w:eastAsia="en-AU"/>
        </w:rPr>
        <w:t xml:space="preserve">The </w:t>
      </w:r>
      <w:hyperlink r:id="rId25" w:history="1">
        <w:r w:rsidRPr="00B34C5D">
          <w:rPr>
            <w:rStyle w:val="Hyperlink"/>
            <w:rFonts w:eastAsia="Times New Roman" w:cs="Times New Roman"/>
            <w:szCs w:val="24"/>
            <w:lang w:eastAsia="en-AU"/>
          </w:rPr>
          <w:t>Vision Initiative</w:t>
        </w:r>
      </w:hyperlink>
      <w:r w:rsidRPr="00512865">
        <w:rPr>
          <w:rFonts w:eastAsia="Times New Roman" w:cs="Times New Roman"/>
          <w:szCs w:val="24"/>
          <w:lang w:eastAsia="en-AU"/>
        </w:rPr>
        <w:t xml:space="preserve"> is a Victorian Government funded eye health promotion program. During 2020, it continued to deliver an extensive program of education, engagement and awareness raising in partnership with a wide range of organisations.</w:t>
      </w:r>
    </w:p>
    <w:p w14:paraId="486B62C1" w14:textId="77777777" w:rsidR="00512865" w:rsidRPr="00512865" w:rsidRDefault="00512865" w:rsidP="00512865">
      <w:pPr>
        <w:spacing w:before="120" w:after="120" w:line="264" w:lineRule="auto"/>
        <w:rPr>
          <w:rFonts w:eastAsia="Times New Roman" w:cs="Times New Roman"/>
          <w:szCs w:val="24"/>
          <w:lang w:eastAsia="en-AU"/>
        </w:rPr>
      </w:pPr>
      <w:r w:rsidRPr="00512865">
        <w:rPr>
          <w:rFonts w:eastAsia="Times New Roman" w:cs="Times New Roman"/>
          <w:szCs w:val="24"/>
          <w:lang w:eastAsia="en-AU"/>
        </w:rPr>
        <w:t>There were a range of key developments to the suite of eye health training for primary health professionals including:</w:t>
      </w:r>
    </w:p>
    <w:p w14:paraId="5AB86D83" w14:textId="0CBDE08B" w:rsidR="00512865" w:rsidRPr="00512865" w:rsidRDefault="00512865" w:rsidP="00512865">
      <w:pPr>
        <w:numPr>
          <w:ilvl w:val="0"/>
          <w:numId w:val="30"/>
        </w:numPr>
        <w:spacing w:before="120" w:after="120" w:line="264" w:lineRule="auto"/>
        <w:rPr>
          <w:lang w:eastAsia="en-AU"/>
        </w:rPr>
      </w:pPr>
      <w:r w:rsidRPr="00512865">
        <w:rPr>
          <w:rFonts w:eastAsia="Times New Roman" w:cs="Times New Roman"/>
          <w:szCs w:val="24"/>
          <w:lang w:eastAsia="en-AU"/>
        </w:rPr>
        <w:t>New accredited online eye health training for Diabetes Educators developed for the Australian Diabetes Educators Association</w:t>
      </w:r>
      <w:r w:rsidR="00644F6B">
        <w:rPr>
          <w:rFonts w:eastAsia="Times New Roman" w:cs="Times New Roman"/>
          <w:szCs w:val="24"/>
          <w:lang w:eastAsia="en-AU"/>
        </w:rPr>
        <w:t>.</w:t>
      </w:r>
    </w:p>
    <w:p w14:paraId="704E2DE7" w14:textId="68457D3F" w:rsidR="00512865" w:rsidRPr="00512865" w:rsidRDefault="00512865" w:rsidP="00512865">
      <w:pPr>
        <w:numPr>
          <w:ilvl w:val="0"/>
          <w:numId w:val="30"/>
        </w:numPr>
        <w:spacing w:before="120" w:after="120" w:line="264" w:lineRule="auto"/>
        <w:rPr>
          <w:color w:val="000000" w:themeColor="text1"/>
          <w:lang w:eastAsia="en-AU"/>
        </w:rPr>
      </w:pPr>
      <w:r w:rsidRPr="00512865">
        <w:rPr>
          <w:rFonts w:eastAsia="Times New Roman" w:cs="Times New Roman"/>
          <w:lang w:eastAsia="en-AU"/>
        </w:rPr>
        <w:t xml:space="preserve">An update and relaunch of the </w:t>
      </w:r>
      <w:proofErr w:type="spellStart"/>
      <w:r w:rsidRPr="00512865">
        <w:rPr>
          <w:rFonts w:eastAsia="Times New Roman" w:cs="Times New Roman"/>
          <w:lang w:eastAsia="en-AU"/>
        </w:rPr>
        <w:t>ThinkGP</w:t>
      </w:r>
      <w:proofErr w:type="spellEnd"/>
      <w:r w:rsidRPr="00512865">
        <w:rPr>
          <w:rFonts w:eastAsia="Times New Roman" w:cs="Times New Roman"/>
          <w:lang w:eastAsia="en-AU"/>
        </w:rPr>
        <w:t xml:space="preserve"> ‘Common Eye Conditions’ accredited online module for general practitioners</w:t>
      </w:r>
      <w:r w:rsidR="00644F6B">
        <w:rPr>
          <w:rFonts w:eastAsia="Times New Roman" w:cs="Times New Roman"/>
          <w:lang w:eastAsia="en-AU"/>
        </w:rPr>
        <w:t>.</w:t>
      </w:r>
    </w:p>
    <w:p w14:paraId="01CE7038" w14:textId="77777777" w:rsidR="00512865" w:rsidRPr="00512865" w:rsidRDefault="00512865" w:rsidP="00512865">
      <w:pPr>
        <w:numPr>
          <w:ilvl w:val="0"/>
          <w:numId w:val="30"/>
        </w:numPr>
        <w:spacing w:before="120" w:after="120" w:line="264" w:lineRule="auto"/>
        <w:rPr>
          <w:rFonts w:eastAsia="Times New Roman" w:cs="Times New Roman"/>
          <w:color w:val="000000" w:themeColor="text1"/>
          <w:lang w:eastAsia="en-AU"/>
        </w:rPr>
      </w:pPr>
      <w:r w:rsidRPr="00512865">
        <w:rPr>
          <w:rFonts w:eastAsia="Times New Roman" w:cs="Times New Roman"/>
          <w:lang w:eastAsia="en-AU"/>
        </w:rPr>
        <w:t>Renewed sponsorship and refreshed content for the Australian Primary Health Care Nurses Association, allowing all Victorian nurses to access the course for free.</w:t>
      </w:r>
    </w:p>
    <w:p w14:paraId="67B3D66E" w14:textId="5B5718F3" w:rsidR="00512865" w:rsidRPr="00512865" w:rsidRDefault="00512865" w:rsidP="00512865">
      <w:pPr>
        <w:spacing w:before="120" w:after="120" w:line="264" w:lineRule="auto"/>
        <w:rPr>
          <w:rFonts w:eastAsia="Times New Roman" w:cs="Times New Roman"/>
          <w:szCs w:val="24"/>
          <w:lang w:eastAsia="en-AU"/>
        </w:rPr>
      </w:pPr>
      <w:r w:rsidRPr="00512865">
        <w:rPr>
          <w:rFonts w:eastAsia="Times New Roman" w:cs="Times New Roman"/>
          <w:szCs w:val="24"/>
          <w:lang w:eastAsia="en-AU"/>
        </w:rPr>
        <w:t xml:space="preserve">In a new partnership with Quit, the Vision Initiative developed a smoking cessation brief advice accredited online training </w:t>
      </w:r>
      <w:proofErr w:type="gramStart"/>
      <w:r w:rsidRPr="00512865">
        <w:rPr>
          <w:rFonts w:eastAsia="Times New Roman" w:cs="Times New Roman"/>
          <w:szCs w:val="24"/>
          <w:lang w:eastAsia="en-AU"/>
        </w:rPr>
        <w:t>module, and</w:t>
      </w:r>
      <w:proofErr w:type="gramEnd"/>
      <w:r w:rsidRPr="00512865">
        <w:rPr>
          <w:rFonts w:eastAsia="Times New Roman" w:cs="Times New Roman"/>
          <w:szCs w:val="24"/>
          <w:lang w:eastAsia="en-AU"/>
        </w:rPr>
        <w:t xml:space="preserve"> accompanying resources for eye health professional</w:t>
      </w:r>
      <w:r w:rsidR="00776CC0">
        <w:rPr>
          <w:rFonts w:eastAsia="Times New Roman" w:cs="Times New Roman"/>
          <w:szCs w:val="24"/>
          <w:lang w:eastAsia="en-AU"/>
        </w:rPr>
        <w:t>s</w:t>
      </w:r>
      <w:r w:rsidRPr="00512865">
        <w:rPr>
          <w:rFonts w:eastAsia="Times New Roman" w:cs="Times New Roman"/>
          <w:szCs w:val="24"/>
          <w:lang w:eastAsia="en-AU"/>
        </w:rPr>
        <w:t>.</w:t>
      </w:r>
    </w:p>
    <w:p w14:paraId="793632BD" w14:textId="16E88EE0" w:rsidR="00512865" w:rsidRPr="00512865" w:rsidRDefault="00512865" w:rsidP="00512865">
      <w:pPr>
        <w:spacing w:before="120" w:after="120" w:line="264" w:lineRule="auto"/>
        <w:rPr>
          <w:rFonts w:eastAsia="Times New Roman" w:cs="Times New Roman"/>
          <w:lang w:eastAsia="en-AU"/>
        </w:rPr>
      </w:pPr>
      <w:r w:rsidRPr="00512865">
        <w:rPr>
          <w:rFonts w:eastAsia="Times New Roman" w:cs="Times New Roman"/>
          <w:lang w:eastAsia="en-AU"/>
        </w:rPr>
        <w:t>World Sight Day celebrations, including a video developed in partnership with Diabetes Victoria, promot</w:t>
      </w:r>
      <w:r w:rsidR="00A567C3">
        <w:rPr>
          <w:rFonts w:eastAsia="Times New Roman" w:cs="Times New Roman"/>
          <w:lang w:eastAsia="en-AU"/>
        </w:rPr>
        <w:t>ed</w:t>
      </w:r>
      <w:r w:rsidRPr="00512865">
        <w:rPr>
          <w:rFonts w:eastAsia="Times New Roman" w:cs="Times New Roman"/>
          <w:lang w:eastAsia="en-AU"/>
        </w:rPr>
        <w:t xml:space="preserve"> the importance of continuing your diabetes eye care post COVID-1</w:t>
      </w:r>
      <w:r w:rsidR="00A43ABF">
        <w:rPr>
          <w:rFonts w:eastAsia="Times New Roman" w:cs="Times New Roman"/>
          <w:lang w:eastAsia="en-AU"/>
        </w:rPr>
        <w:t>9</w:t>
      </w:r>
      <w:r w:rsidRPr="00512865">
        <w:rPr>
          <w:rFonts w:eastAsia="Times New Roman" w:cs="Times New Roman"/>
          <w:lang w:eastAsia="en-AU"/>
        </w:rPr>
        <w:t xml:space="preserve">. </w:t>
      </w:r>
    </w:p>
    <w:p w14:paraId="2F456DBA" w14:textId="77777777" w:rsidR="00512865" w:rsidRPr="00512865" w:rsidRDefault="00512865" w:rsidP="00512865">
      <w:pPr>
        <w:spacing w:before="120" w:after="120" w:line="264" w:lineRule="auto"/>
        <w:rPr>
          <w:rFonts w:eastAsia="Times New Roman" w:cs="Times New Roman"/>
          <w:szCs w:val="24"/>
          <w:lang w:eastAsia="en-AU"/>
        </w:rPr>
      </w:pPr>
      <w:r w:rsidRPr="00512865">
        <w:rPr>
          <w:rFonts w:eastAsia="Times New Roman" w:cs="Times New Roman"/>
          <w:lang w:eastAsia="en-AU"/>
        </w:rPr>
        <w:t>The Vision Initiative adapted to COVID-19 restrictions by delivering our education sessions via webinar and expanding our use of other virtual formats. This included:</w:t>
      </w:r>
    </w:p>
    <w:p w14:paraId="158F5629" w14:textId="2E46168E" w:rsidR="00512865" w:rsidRPr="00512865" w:rsidRDefault="00512865" w:rsidP="00512865">
      <w:pPr>
        <w:numPr>
          <w:ilvl w:val="0"/>
          <w:numId w:val="31"/>
        </w:numPr>
        <w:spacing w:before="120" w:after="120" w:line="264" w:lineRule="auto"/>
        <w:rPr>
          <w:lang w:eastAsia="en-AU"/>
        </w:rPr>
      </w:pPr>
      <w:r w:rsidRPr="00512865">
        <w:rPr>
          <w:rFonts w:eastAsia="Times New Roman" w:cs="Times New Roman"/>
          <w:szCs w:val="24"/>
          <w:lang w:eastAsia="en-AU"/>
        </w:rPr>
        <w:t>A series of educational webinars with the Multicultural Centre for Women’s Health</w:t>
      </w:r>
      <w:r w:rsidR="00776CC0">
        <w:rPr>
          <w:rFonts w:eastAsia="Times New Roman" w:cs="Times New Roman"/>
          <w:szCs w:val="24"/>
          <w:lang w:eastAsia="en-AU"/>
        </w:rPr>
        <w:t>.</w:t>
      </w:r>
    </w:p>
    <w:p w14:paraId="36E9115A" w14:textId="00B4D80E" w:rsidR="00512865" w:rsidRPr="00512865" w:rsidRDefault="00512865" w:rsidP="00512865">
      <w:pPr>
        <w:numPr>
          <w:ilvl w:val="0"/>
          <w:numId w:val="31"/>
        </w:numPr>
        <w:spacing w:before="120" w:after="120" w:line="264" w:lineRule="auto"/>
        <w:rPr>
          <w:lang w:eastAsia="en-AU"/>
        </w:rPr>
      </w:pPr>
      <w:r w:rsidRPr="00512865">
        <w:rPr>
          <w:rFonts w:eastAsia="Times New Roman" w:cs="Times New Roman"/>
          <w:szCs w:val="24"/>
          <w:lang w:eastAsia="en-AU"/>
        </w:rPr>
        <w:t xml:space="preserve">Diabetes Victoria: Living </w:t>
      </w:r>
      <w:r w:rsidR="00DF143E">
        <w:rPr>
          <w:rFonts w:eastAsia="Times New Roman" w:cs="Times New Roman"/>
          <w:szCs w:val="24"/>
          <w:lang w:eastAsia="en-AU"/>
        </w:rPr>
        <w:t>W</w:t>
      </w:r>
      <w:r w:rsidRPr="00512865">
        <w:rPr>
          <w:rFonts w:eastAsia="Times New Roman" w:cs="Times New Roman"/>
          <w:szCs w:val="24"/>
          <w:lang w:eastAsia="en-AU"/>
        </w:rPr>
        <w:t xml:space="preserve">ell </w:t>
      </w:r>
      <w:proofErr w:type="gramStart"/>
      <w:r w:rsidR="00DF143E">
        <w:rPr>
          <w:rFonts w:eastAsia="Times New Roman" w:cs="Times New Roman"/>
          <w:szCs w:val="24"/>
          <w:lang w:eastAsia="en-AU"/>
        </w:rPr>
        <w:t>W</w:t>
      </w:r>
      <w:r w:rsidRPr="00512865">
        <w:rPr>
          <w:rFonts w:eastAsia="Times New Roman" w:cs="Times New Roman"/>
          <w:szCs w:val="24"/>
          <w:lang w:eastAsia="en-AU"/>
        </w:rPr>
        <w:t>ith</w:t>
      </w:r>
      <w:proofErr w:type="gramEnd"/>
      <w:r w:rsidRPr="00512865">
        <w:rPr>
          <w:rFonts w:eastAsia="Times New Roman" w:cs="Times New Roman"/>
          <w:szCs w:val="24"/>
          <w:lang w:eastAsia="en-AU"/>
        </w:rPr>
        <w:t xml:space="preserve"> </w:t>
      </w:r>
      <w:r w:rsidR="00DF143E">
        <w:rPr>
          <w:rFonts w:eastAsia="Times New Roman" w:cs="Times New Roman"/>
          <w:szCs w:val="24"/>
          <w:lang w:eastAsia="en-AU"/>
        </w:rPr>
        <w:t>D</w:t>
      </w:r>
      <w:r w:rsidRPr="00512865">
        <w:rPr>
          <w:rFonts w:eastAsia="Times New Roman" w:cs="Times New Roman"/>
          <w:szCs w:val="24"/>
          <w:lang w:eastAsia="en-AU"/>
        </w:rPr>
        <w:t>iabetes podcast, ‘Diabetes and Eye Health’</w:t>
      </w:r>
      <w:r w:rsidR="00776CC0">
        <w:rPr>
          <w:rFonts w:eastAsia="Times New Roman" w:cs="Times New Roman"/>
          <w:szCs w:val="24"/>
          <w:lang w:eastAsia="en-AU"/>
        </w:rPr>
        <w:t>.</w:t>
      </w:r>
    </w:p>
    <w:p w14:paraId="37CE89CA" w14:textId="34D1452A" w:rsidR="00512865" w:rsidRPr="00512865" w:rsidRDefault="00512865" w:rsidP="00512865">
      <w:pPr>
        <w:numPr>
          <w:ilvl w:val="0"/>
          <w:numId w:val="31"/>
        </w:numPr>
        <w:spacing w:before="120" w:after="120" w:line="264" w:lineRule="auto"/>
        <w:rPr>
          <w:rFonts w:eastAsia="Times New Roman" w:cs="Times New Roman"/>
          <w:color w:val="000000" w:themeColor="text1"/>
          <w:lang w:eastAsia="en-AU"/>
        </w:rPr>
      </w:pPr>
      <w:r w:rsidRPr="00512865">
        <w:rPr>
          <w:rFonts w:eastAsia="Times New Roman" w:cs="Times New Roman"/>
          <w:lang w:eastAsia="en-AU"/>
        </w:rPr>
        <w:t>Ongoing social media activity and an update to our website</w:t>
      </w:r>
      <w:r w:rsidR="00776CC0">
        <w:rPr>
          <w:rFonts w:eastAsia="Times New Roman" w:cs="Times New Roman"/>
          <w:lang w:eastAsia="en-AU"/>
        </w:rPr>
        <w:t>.</w:t>
      </w:r>
    </w:p>
    <w:p w14:paraId="0988E5E0" w14:textId="04069EAF" w:rsidR="00512865" w:rsidRDefault="00512865" w:rsidP="00512865">
      <w:pPr>
        <w:spacing w:before="120" w:after="120" w:line="264" w:lineRule="auto"/>
        <w:rPr>
          <w:rFonts w:cs="Times New Roman"/>
          <w:szCs w:val="24"/>
          <w:lang w:eastAsia="en-AU"/>
        </w:rPr>
      </w:pPr>
      <w:r w:rsidRPr="00512865">
        <w:rPr>
          <w:rFonts w:eastAsia="Times New Roman" w:cs="Times New Roman"/>
          <w:szCs w:val="24"/>
          <w:lang w:eastAsia="en-AU"/>
        </w:rPr>
        <w:t>In 2020, our partnership with VACCHO supported</w:t>
      </w:r>
      <w:r w:rsidRPr="00512865">
        <w:rPr>
          <w:rFonts w:cs="Times New Roman"/>
          <w:szCs w:val="24"/>
          <w:lang w:eastAsia="en-AU"/>
        </w:rPr>
        <w:t xml:space="preserve"> comprehensive consultation with Elders and Community to develop culturally appropriate, eye health promotion resource</w:t>
      </w:r>
      <w:r w:rsidR="00F05CA6">
        <w:rPr>
          <w:rFonts w:cs="Times New Roman"/>
          <w:szCs w:val="24"/>
          <w:lang w:eastAsia="en-AU"/>
        </w:rPr>
        <w:t>s</w:t>
      </w:r>
      <w:r w:rsidRPr="00512865">
        <w:rPr>
          <w:rFonts w:cs="Times New Roman"/>
          <w:szCs w:val="24"/>
          <w:lang w:eastAsia="en-AU"/>
        </w:rPr>
        <w:t xml:space="preserve"> for children and people living with complex, chronic diseases.</w:t>
      </w:r>
    </w:p>
    <w:p w14:paraId="30EE715D" w14:textId="77777777" w:rsidR="00FB4181" w:rsidRPr="00512865" w:rsidRDefault="00FB4181" w:rsidP="00512865">
      <w:pPr>
        <w:spacing w:before="120" w:after="120" w:line="264" w:lineRule="auto"/>
        <w:rPr>
          <w:rFonts w:cs="Times New Roman"/>
          <w:szCs w:val="24"/>
          <w:lang w:eastAsia="en-AU"/>
        </w:rPr>
      </w:pPr>
    </w:p>
    <w:p w14:paraId="03211D57" w14:textId="5019E2B7" w:rsidR="00512865" w:rsidRPr="008F046D" w:rsidRDefault="00512865" w:rsidP="00512865">
      <w:pPr>
        <w:pStyle w:val="BodyText"/>
      </w:pPr>
    </w:p>
    <w:sectPr w:rsidR="00512865" w:rsidRPr="008F046D" w:rsidSect="00A74A2E">
      <w:footerReference w:type="default" r:id="rId26"/>
      <w:headerReference w:type="first" r:id="rId27"/>
      <w:footerReference w:type="first" r:id="rId28"/>
      <w:pgSz w:w="11906" w:h="16838" w:code="9"/>
      <w:pgMar w:top="1134" w:right="1134" w:bottom="1418" w:left="1134" w:header="426"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B76CE6" w14:textId="77777777" w:rsidR="006D51BC" w:rsidRDefault="006D51BC" w:rsidP="00185154">
      <w:r>
        <w:separator/>
      </w:r>
    </w:p>
    <w:p w14:paraId="67D9709F" w14:textId="77777777" w:rsidR="006D51BC" w:rsidRDefault="006D51BC"/>
  </w:endnote>
  <w:endnote w:type="continuationSeparator" w:id="0">
    <w:p w14:paraId="0AC44C2A" w14:textId="77777777" w:rsidR="006D51BC" w:rsidRDefault="006D51BC" w:rsidP="00185154">
      <w:r>
        <w:continuationSeparator/>
      </w:r>
    </w:p>
    <w:p w14:paraId="27AA98B6" w14:textId="77777777" w:rsidR="006D51BC" w:rsidRDefault="006D51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183C7B" w:rsidRPr="002F2F7A" w14:paraId="5C8E2EF7" w14:textId="77777777" w:rsidTr="00183C7B">
      <w:tc>
        <w:tcPr>
          <w:tcW w:w="0" w:type="auto"/>
        </w:tcPr>
        <w:p w14:paraId="11715965" w14:textId="77777777" w:rsidR="00183C7B" w:rsidRPr="00183C7B" w:rsidRDefault="004261DA" w:rsidP="00183C7B">
          <w:pPr>
            <w:ind w:left="-284" w:firstLine="284"/>
            <w:rPr>
              <w:sz w:val="20"/>
              <w:szCs w:val="20"/>
            </w:rPr>
          </w:pPr>
          <w:r>
            <w:t>Vision 2020 Australia – 2020 Year in Review</w:t>
          </w:r>
        </w:p>
      </w:tc>
      <w:tc>
        <w:tcPr>
          <w:tcW w:w="567" w:type="dxa"/>
          <w:vAlign w:val="bottom"/>
        </w:tcPr>
        <w:p w14:paraId="447F23D3" w14:textId="77777777" w:rsidR="00183C7B" w:rsidRPr="002F2F7A" w:rsidRDefault="004261DA"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14:paraId="55ACA759" w14:textId="77777777" w:rsidR="00183C7B" w:rsidRPr="00183C7B" w:rsidRDefault="006D51BC" w:rsidP="00183C7B">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183C7B" w:rsidRPr="002F2F7A" w14:paraId="07A89DBF" w14:textId="77777777" w:rsidTr="00183C7B">
      <w:tc>
        <w:tcPr>
          <w:tcW w:w="0" w:type="auto"/>
        </w:tcPr>
        <w:p w14:paraId="31D43A48" w14:textId="77777777" w:rsidR="00183C7B" w:rsidRPr="00183C7B" w:rsidRDefault="004261DA" w:rsidP="00183C7B">
          <w:pPr>
            <w:ind w:left="-284" w:firstLine="284"/>
          </w:pPr>
          <w:r w:rsidRPr="00183C7B">
            <w:rPr>
              <w:color w:val="004B8D" w:themeColor="accent1"/>
              <w:lang w:eastAsia="en-AU"/>
            </w:rPr>
            <w:t>National body working in partnership to prevent avoidable blindness and improve vision care</w:t>
          </w:r>
        </w:p>
      </w:tc>
      <w:tc>
        <w:tcPr>
          <w:tcW w:w="567" w:type="dxa"/>
          <w:vAlign w:val="bottom"/>
        </w:tcPr>
        <w:p w14:paraId="35CCAA28" w14:textId="77777777" w:rsidR="00183C7B" w:rsidRPr="002F2F7A" w:rsidRDefault="004261DA"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14:paraId="6AB85A5D" w14:textId="77777777" w:rsidR="001671EC" w:rsidRPr="00183C7B" w:rsidRDefault="006D51BC" w:rsidP="00183C7B">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6A94DB" w14:textId="77777777" w:rsidR="006D51BC" w:rsidRDefault="006D51BC" w:rsidP="00185154">
      <w:r>
        <w:separator/>
      </w:r>
    </w:p>
    <w:p w14:paraId="22DD6E20" w14:textId="77777777" w:rsidR="006D51BC" w:rsidRDefault="006D51BC"/>
  </w:footnote>
  <w:footnote w:type="continuationSeparator" w:id="0">
    <w:p w14:paraId="795C49D1" w14:textId="77777777" w:rsidR="006D51BC" w:rsidRDefault="006D51BC" w:rsidP="00185154">
      <w:r>
        <w:continuationSeparator/>
      </w:r>
    </w:p>
    <w:p w14:paraId="6488C525" w14:textId="77777777" w:rsidR="006D51BC" w:rsidRDefault="006D51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D267A5" w14:textId="77777777" w:rsidR="008C326F" w:rsidRDefault="004261DA" w:rsidP="009408C0">
    <w:pPr>
      <w:pStyle w:val="Header"/>
      <w:tabs>
        <w:tab w:val="left" w:pos="405"/>
        <w:tab w:val="right" w:pos="9638"/>
      </w:tabs>
      <w:jc w:val="right"/>
    </w:pPr>
    <w:r>
      <w:tab/>
    </w:r>
    <w:r>
      <w:rPr>
        <w:noProof/>
      </w:rPr>
      <w:drawing>
        <wp:inline distT="0" distB="0" distL="0" distR="0" wp14:anchorId="79C99094" wp14:editId="432DBF6A">
          <wp:extent cx="920750" cy="1363568"/>
          <wp:effectExtent l="0" t="0" r="0" b="825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923491" cy="1367628"/>
                  </a:xfrm>
                  <a:prstGeom prst="rect">
                    <a:avLst/>
                  </a:prstGeom>
                </pic:spPr>
              </pic:pic>
            </a:graphicData>
          </a:graphic>
        </wp:inline>
      </w:drawing>
    </w:r>
  </w:p>
  <w:p w14:paraId="35DEE2FC" w14:textId="77777777" w:rsidR="00183C7B" w:rsidRDefault="006D51BC" w:rsidP="008C326F">
    <w:pPr>
      <w:pStyle w:val="Header"/>
      <w:jc w:val="right"/>
    </w:pPr>
  </w:p>
  <w:p w14:paraId="42B6A04F" w14:textId="77777777" w:rsidR="00183C7B" w:rsidRDefault="006D51BC" w:rsidP="008C32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041D0"/>
    <w:multiLevelType w:val="hybridMultilevel"/>
    <w:tmpl w:val="28663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33E7F99"/>
    <w:multiLevelType w:val="multilevel"/>
    <w:tmpl w:val="D4E25A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A477A89"/>
    <w:multiLevelType w:val="multilevel"/>
    <w:tmpl w:val="3D72C964"/>
    <w:lvl w:ilvl="0">
      <w:start w:val="1"/>
      <w:numFmt w:val="bullet"/>
      <w:lvlText w:val=""/>
      <w:lvlJc w:val="left"/>
      <w:pPr>
        <w:tabs>
          <w:tab w:val="num" w:pos="425"/>
        </w:tabs>
        <w:ind w:left="425" w:hanging="425"/>
      </w:pPr>
      <w:rPr>
        <w:rFonts w:ascii="Symbol" w:hAnsi="Symbo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1"/>
        </w:tabs>
        <w:ind w:left="850" w:hanging="425"/>
      </w:pPr>
      <w:rPr>
        <w:rFonts w:asciiTheme="minorHAnsi" w:hAnsiTheme="minorHAnsi" w:hint="default"/>
        <w:b w:val="0"/>
        <w:i w:val="0"/>
        <w:color w:val="auto"/>
        <w:sz w:val="24"/>
      </w:rPr>
    </w:lvl>
    <w:lvl w:ilvl="2">
      <w:start w:val="1"/>
      <w:numFmt w:val="lowerRoman"/>
      <w:lvlText w:val="%3."/>
      <w:lvlJc w:val="left"/>
      <w:pPr>
        <w:tabs>
          <w:tab w:val="num" w:pos="1276"/>
        </w:tabs>
        <w:ind w:left="1275" w:hanging="425"/>
      </w:pPr>
      <w:rPr>
        <w:rFonts w:asciiTheme="minorHAnsi" w:hAnsiTheme="minorHAnsi" w:hint="default"/>
        <w:b w:val="0"/>
        <w:i w:val="0"/>
        <w:color w:val="auto"/>
        <w:sz w:val="24"/>
      </w:rPr>
    </w:lvl>
    <w:lvl w:ilvl="3">
      <w:start w:val="1"/>
      <w:numFmt w:val="upperLetter"/>
      <w:lvlText w:val="%4."/>
      <w:lvlJc w:val="left"/>
      <w:pPr>
        <w:tabs>
          <w:tab w:val="num" w:pos="1701"/>
        </w:tabs>
        <w:ind w:left="1700" w:hanging="425"/>
      </w:pPr>
      <w:rPr>
        <w:rFonts w:asciiTheme="minorHAnsi" w:hAnsiTheme="minorHAnsi" w:hint="default"/>
        <w:b w:val="0"/>
        <w:i w:val="0"/>
        <w:color w:val="auto"/>
        <w:sz w:val="24"/>
      </w:rPr>
    </w:lvl>
    <w:lvl w:ilvl="4">
      <w:start w:val="1"/>
      <w:numFmt w:val="upperRoman"/>
      <w:lvlText w:val="%5."/>
      <w:lvlJc w:val="left"/>
      <w:pPr>
        <w:tabs>
          <w:tab w:val="num" w:pos="2126"/>
        </w:tabs>
        <w:ind w:left="2125" w:hanging="425"/>
      </w:pPr>
      <w:rPr>
        <w:rFonts w:asciiTheme="minorHAnsi" w:hAnsiTheme="minorHAnsi" w:hint="default"/>
        <w:b w:val="0"/>
        <w:i w:val="0"/>
        <w:color w:val="auto"/>
        <w:sz w:val="24"/>
      </w:rPr>
    </w:lvl>
    <w:lvl w:ilvl="5">
      <w:start w:val="1"/>
      <w:numFmt w:val="decimal"/>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5"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6" w15:restartNumberingAfterBreak="0">
    <w:nsid w:val="224142CD"/>
    <w:multiLevelType w:val="hybridMultilevel"/>
    <w:tmpl w:val="EE361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8"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9" w15:restartNumberingAfterBreak="0">
    <w:nsid w:val="366E6290"/>
    <w:multiLevelType w:val="multilevel"/>
    <w:tmpl w:val="BDFC207A"/>
    <w:numStyleLink w:val="ListTableNumber"/>
  </w:abstractNum>
  <w:abstractNum w:abstractNumId="10" w15:restartNumberingAfterBreak="0">
    <w:nsid w:val="39D01F19"/>
    <w:multiLevelType w:val="multilevel"/>
    <w:tmpl w:val="626C565E"/>
    <w:numStyleLink w:val="ListTableBullet"/>
  </w:abstractNum>
  <w:abstractNum w:abstractNumId="11" w15:restartNumberingAfterBreak="0">
    <w:nsid w:val="39D71FE1"/>
    <w:multiLevelType w:val="hybridMultilevel"/>
    <w:tmpl w:val="6A3E4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6D04F8"/>
    <w:multiLevelType w:val="multilevel"/>
    <w:tmpl w:val="3D72C964"/>
    <w:lvl w:ilvl="0">
      <w:start w:val="1"/>
      <w:numFmt w:val="bullet"/>
      <w:lvlText w:val=""/>
      <w:lvlJc w:val="left"/>
      <w:pPr>
        <w:tabs>
          <w:tab w:val="num" w:pos="425"/>
        </w:tabs>
        <w:ind w:left="425" w:hanging="425"/>
      </w:pPr>
      <w:rPr>
        <w:rFonts w:ascii="Symbol" w:hAnsi="Symbo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1"/>
        </w:tabs>
        <w:ind w:left="850" w:hanging="425"/>
      </w:pPr>
      <w:rPr>
        <w:rFonts w:asciiTheme="minorHAnsi" w:hAnsiTheme="minorHAnsi" w:hint="default"/>
        <w:b w:val="0"/>
        <w:i w:val="0"/>
        <w:color w:val="auto"/>
        <w:sz w:val="24"/>
      </w:rPr>
    </w:lvl>
    <w:lvl w:ilvl="2">
      <w:start w:val="1"/>
      <w:numFmt w:val="lowerRoman"/>
      <w:lvlText w:val="%3."/>
      <w:lvlJc w:val="left"/>
      <w:pPr>
        <w:tabs>
          <w:tab w:val="num" w:pos="1276"/>
        </w:tabs>
        <w:ind w:left="1275" w:hanging="425"/>
      </w:pPr>
      <w:rPr>
        <w:rFonts w:asciiTheme="minorHAnsi" w:hAnsiTheme="minorHAnsi" w:hint="default"/>
        <w:b w:val="0"/>
        <w:i w:val="0"/>
        <w:color w:val="auto"/>
        <w:sz w:val="24"/>
      </w:rPr>
    </w:lvl>
    <w:lvl w:ilvl="3">
      <w:start w:val="1"/>
      <w:numFmt w:val="upperLetter"/>
      <w:lvlText w:val="%4."/>
      <w:lvlJc w:val="left"/>
      <w:pPr>
        <w:tabs>
          <w:tab w:val="num" w:pos="1701"/>
        </w:tabs>
        <w:ind w:left="1700" w:hanging="425"/>
      </w:pPr>
      <w:rPr>
        <w:rFonts w:asciiTheme="minorHAnsi" w:hAnsiTheme="minorHAnsi" w:hint="default"/>
        <w:b w:val="0"/>
        <w:i w:val="0"/>
        <w:color w:val="auto"/>
        <w:sz w:val="24"/>
      </w:rPr>
    </w:lvl>
    <w:lvl w:ilvl="4">
      <w:start w:val="1"/>
      <w:numFmt w:val="upperRoman"/>
      <w:lvlText w:val="%5."/>
      <w:lvlJc w:val="left"/>
      <w:pPr>
        <w:tabs>
          <w:tab w:val="num" w:pos="2126"/>
        </w:tabs>
        <w:ind w:left="2125" w:hanging="425"/>
      </w:pPr>
      <w:rPr>
        <w:rFonts w:asciiTheme="minorHAnsi" w:hAnsiTheme="minorHAnsi" w:hint="default"/>
        <w:b w:val="0"/>
        <w:i w:val="0"/>
        <w:color w:val="auto"/>
        <w:sz w:val="24"/>
      </w:rPr>
    </w:lvl>
    <w:lvl w:ilvl="5">
      <w:start w:val="1"/>
      <w:numFmt w:val="decimal"/>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3" w15:restartNumberingAfterBreak="0">
    <w:nsid w:val="3E161D21"/>
    <w:multiLevelType w:val="multilevel"/>
    <w:tmpl w:val="3D72C964"/>
    <w:lvl w:ilvl="0">
      <w:start w:val="1"/>
      <w:numFmt w:val="bullet"/>
      <w:lvlText w:val=""/>
      <w:lvlJc w:val="left"/>
      <w:pPr>
        <w:tabs>
          <w:tab w:val="num" w:pos="425"/>
        </w:tabs>
        <w:ind w:left="425" w:hanging="425"/>
      </w:pPr>
      <w:rPr>
        <w:rFonts w:ascii="Symbol" w:hAnsi="Symbo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1"/>
        </w:tabs>
        <w:ind w:left="850" w:hanging="425"/>
      </w:pPr>
      <w:rPr>
        <w:rFonts w:asciiTheme="minorHAnsi" w:hAnsiTheme="minorHAnsi" w:hint="default"/>
        <w:b w:val="0"/>
        <w:i w:val="0"/>
        <w:color w:val="auto"/>
        <w:sz w:val="24"/>
      </w:rPr>
    </w:lvl>
    <w:lvl w:ilvl="2">
      <w:start w:val="1"/>
      <w:numFmt w:val="lowerRoman"/>
      <w:lvlText w:val="%3."/>
      <w:lvlJc w:val="left"/>
      <w:pPr>
        <w:tabs>
          <w:tab w:val="num" w:pos="1276"/>
        </w:tabs>
        <w:ind w:left="1275" w:hanging="425"/>
      </w:pPr>
      <w:rPr>
        <w:rFonts w:asciiTheme="minorHAnsi" w:hAnsiTheme="minorHAnsi" w:hint="default"/>
        <w:b w:val="0"/>
        <w:i w:val="0"/>
        <w:color w:val="auto"/>
        <w:sz w:val="24"/>
      </w:rPr>
    </w:lvl>
    <w:lvl w:ilvl="3">
      <w:start w:val="1"/>
      <w:numFmt w:val="upperLetter"/>
      <w:lvlText w:val="%4."/>
      <w:lvlJc w:val="left"/>
      <w:pPr>
        <w:tabs>
          <w:tab w:val="num" w:pos="1701"/>
        </w:tabs>
        <w:ind w:left="1700" w:hanging="425"/>
      </w:pPr>
      <w:rPr>
        <w:rFonts w:asciiTheme="minorHAnsi" w:hAnsiTheme="minorHAnsi" w:hint="default"/>
        <w:b w:val="0"/>
        <w:i w:val="0"/>
        <w:color w:val="auto"/>
        <w:sz w:val="24"/>
      </w:rPr>
    </w:lvl>
    <w:lvl w:ilvl="4">
      <w:start w:val="1"/>
      <w:numFmt w:val="upperRoman"/>
      <w:lvlText w:val="%5."/>
      <w:lvlJc w:val="left"/>
      <w:pPr>
        <w:tabs>
          <w:tab w:val="num" w:pos="2126"/>
        </w:tabs>
        <w:ind w:left="2125" w:hanging="425"/>
      </w:pPr>
      <w:rPr>
        <w:rFonts w:asciiTheme="minorHAnsi" w:hAnsiTheme="minorHAnsi" w:hint="default"/>
        <w:b w:val="0"/>
        <w:i w:val="0"/>
        <w:color w:val="auto"/>
        <w:sz w:val="24"/>
      </w:rPr>
    </w:lvl>
    <w:lvl w:ilvl="5">
      <w:start w:val="1"/>
      <w:numFmt w:val="decimal"/>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4"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5" w15:restartNumberingAfterBreak="0">
    <w:nsid w:val="44581FD7"/>
    <w:multiLevelType w:val="multilevel"/>
    <w:tmpl w:val="3D72C964"/>
    <w:lvl w:ilvl="0">
      <w:start w:val="1"/>
      <w:numFmt w:val="bullet"/>
      <w:lvlText w:val=""/>
      <w:lvlJc w:val="left"/>
      <w:pPr>
        <w:tabs>
          <w:tab w:val="num" w:pos="425"/>
        </w:tabs>
        <w:ind w:left="425" w:hanging="425"/>
      </w:pPr>
      <w:rPr>
        <w:rFonts w:ascii="Symbol" w:hAnsi="Symbo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1"/>
        </w:tabs>
        <w:ind w:left="850" w:hanging="425"/>
      </w:pPr>
      <w:rPr>
        <w:rFonts w:asciiTheme="minorHAnsi" w:hAnsiTheme="minorHAnsi" w:hint="default"/>
        <w:b w:val="0"/>
        <w:i w:val="0"/>
        <w:color w:val="auto"/>
        <w:sz w:val="24"/>
      </w:rPr>
    </w:lvl>
    <w:lvl w:ilvl="2">
      <w:start w:val="1"/>
      <w:numFmt w:val="lowerRoman"/>
      <w:lvlText w:val="%3."/>
      <w:lvlJc w:val="left"/>
      <w:pPr>
        <w:tabs>
          <w:tab w:val="num" w:pos="1276"/>
        </w:tabs>
        <w:ind w:left="1275" w:hanging="425"/>
      </w:pPr>
      <w:rPr>
        <w:rFonts w:asciiTheme="minorHAnsi" w:hAnsiTheme="minorHAnsi" w:hint="default"/>
        <w:b w:val="0"/>
        <w:i w:val="0"/>
        <w:color w:val="auto"/>
        <w:sz w:val="24"/>
      </w:rPr>
    </w:lvl>
    <w:lvl w:ilvl="3">
      <w:start w:val="1"/>
      <w:numFmt w:val="upperLetter"/>
      <w:lvlText w:val="%4."/>
      <w:lvlJc w:val="left"/>
      <w:pPr>
        <w:tabs>
          <w:tab w:val="num" w:pos="1701"/>
        </w:tabs>
        <w:ind w:left="1700" w:hanging="425"/>
      </w:pPr>
      <w:rPr>
        <w:rFonts w:asciiTheme="minorHAnsi" w:hAnsiTheme="minorHAnsi" w:hint="default"/>
        <w:b w:val="0"/>
        <w:i w:val="0"/>
        <w:color w:val="auto"/>
        <w:sz w:val="24"/>
      </w:rPr>
    </w:lvl>
    <w:lvl w:ilvl="4">
      <w:start w:val="1"/>
      <w:numFmt w:val="upperRoman"/>
      <w:lvlText w:val="%5."/>
      <w:lvlJc w:val="left"/>
      <w:pPr>
        <w:tabs>
          <w:tab w:val="num" w:pos="2126"/>
        </w:tabs>
        <w:ind w:left="2125" w:hanging="425"/>
      </w:pPr>
      <w:rPr>
        <w:rFonts w:asciiTheme="minorHAnsi" w:hAnsiTheme="minorHAnsi" w:hint="default"/>
        <w:b w:val="0"/>
        <w:i w:val="0"/>
        <w:color w:val="auto"/>
        <w:sz w:val="24"/>
      </w:rPr>
    </w:lvl>
    <w:lvl w:ilvl="5">
      <w:start w:val="1"/>
      <w:numFmt w:val="decimal"/>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6" w15:restartNumberingAfterBreak="0">
    <w:nsid w:val="476D6267"/>
    <w:multiLevelType w:val="multilevel"/>
    <w:tmpl w:val="3D72C964"/>
    <w:lvl w:ilvl="0">
      <w:start w:val="1"/>
      <w:numFmt w:val="bullet"/>
      <w:lvlText w:val=""/>
      <w:lvlJc w:val="left"/>
      <w:pPr>
        <w:tabs>
          <w:tab w:val="num" w:pos="425"/>
        </w:tabs>
        <w:ind w:left="425" w:hanging="425"/>
      </w:pPr>
      <w:rPr>
        <w:rFonts w:ascii="Symbol" w:hAnsi="Symbo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1"/>
        </w:tabs>
        <w:ind w:left="850" w:hanging="425"/>
      </w:pPr>
      <w:rPr>
        <w:rFonts w:asciiTheme="minorHAnsi" w:hAnsiTheme="minorHAnsi" w:hint="default"/>
        <w:b w:val="0"/>
        <w:i w:val="0"/>
        <w:color w:val="auto"/>
        <w:sz w:val="24"/>
      </w:rPr>
    </w:lvl>
    <w:lvl w:ilvl="2">
      <w:start w:val="1"/>
      <w:numFmt w:val="lowerRoman"/>
      <w:lvlText w:val="%3."/>
      <w:lvlJc w:val="left"/>
      <w:pPr>
        <w:tabs>
          <w:tab w:val="num" w:pos="1276"/>
        </w:tabs>
        <w:ind w:left="1275" w:hanging="425"/>
      </w:pPr>
      <w:rPr>
        <w:rFonts w:asciiTheme="minorHAnsi" w:hAnsiTheme="minorHAnsi" w:hint="default"/>
        <w:b w:val="0"/>
        <w:i w:val="0"/>
        <w:color w:val="auto"/>
        <w:sz w:val="24"/>
      </w:rPr>
    </w:lvl>
    <w:lvl w:ilvl="3">
      <w:start w:val="1"/>
      <w:numFmt w:val="upperLetter"/>
      <w:lvlText w:val="%4."/>
      <w:lvlJc w:val="left"/>
      <w:pPr>
        <w:tabs>
          <w:tab w:val="num" w:pos="1701"/>
        </w:tabs>
        <w:ind w:left="1700" w:hanging="425"/>
      </w:pPr>
      <w:rPr>
        <w:rFonts w:asciiTheme="minorHAnsi" w:hAnsiTheme="minorHAnsi" w:hint="default"/>
        <w:b w:val="0"/>
        <w:i w:val="0"/>
        <w:color w:val="auto"/>
        <w:sz w:val="24"/>
      </w:rPr>
    </w:lvl>
    <w:lvl w:ilvl="4">
      <w:start w:val="1"/>
      <w:numFmt w:val="upperRoman"/>
      <w:lvlText w:val="%5."/>
      <w:lvlJc w:val="left"/>
      <w:pPr>
        <w:tabs>
          <w:tab w:val="num" w:pos="2126"/>
        </w:tabs>
        <w:ind w:left="2125" w:hanging="425"/>
      </w:pPr>
      <w:rPr>
        <w:rFonts w:asciiTheme="minorHAnsi" w:hAnsiTheme="minorHAnsi" w:hint="default"/>
        <w:b w:val="0"/>
        <w:i w:val="0"/>
        <w:color w:val="auto"/>
        <w:sz w:val="24"/>
      </w:rPr>
    </w:lvl>
    <w:lvl w:ilvl="5">
      <w:start w:val="1"/>
      <w:numFmt w:val="decimal"/>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7" w15:restartNumberingAfterBreak="0">
    <w:nsid w:val="55C647A8"/>
    <w:multiLevelType w:val="multilevel"/>
    <w:tmpl w:val="A62A2188"/>
    <w:numStyleLink w:val="ListNumberedHeadings"/>
  </w:abstractNum>
  <w:abstractNum w:abstractNumId="18" w15:restartNumberingAfterBreak="0">
    <w:nsid w:val="570639FB"/>
    <w:multiLevelType w:val="multilevel"/>
    <w:tmpl w:val="279CF11E"/>
    <w:numStyleLink w:val="ListBullet"/>
  </w:abstractNum>
  <w:abstractNum w:abstractNumId="19" w15:restartNumberingAfterBreak="0">
    <w:nsid w:val="5B713DD2"/>
    <w:multiLevelType w:val="multilevel"/>
    <w:tmpl w:val="626C565E"/>
    <w:numStyleLink w:val="ListTableBullet"/>
  </w:abstractNum>
  <w:abstractNum w:abstractNumId="20" w15:restartNumberingAfterBreak="0">
    <w:nsid w:val="5CC423A9"/>
    <w:multiLevelType w:val="multilevel"/>
    <w:tmpl w:val="3D72C964"/>
    <w:lvl w:ilvl="0">
      <w:start w:val="1"/>
      <w:numFmt w:val="bullet"/>
      <w:lvlText w:val=""/>
      <w:lvlJc w:val="left"/>
      <w:pPr>
        <w:tabs>
          <w:tab w:val="num" w:pos="425"/>
        </w:tabs>
        <w:ind w:left="425" w:hanging="425"/>
      </w:pPr>
      <w:rPr>
        <w:rFonts w:ascii="Symbol" w:hAnsi="Symbo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1"/>
        </w:tabs>
        <w:ind w:left="850" w:hanging="425"/>
      </w:pPr>
      <w:rPr>
        <w:rFonts w:asciiTheme="minorHAnsi" w:hAnsiTheme="minorHAnsi" w:hint="default"/>
        <w:b w:val="0"/>
        <w:i w:val="0"/>
        <w:color w:val="auto"/>
        <w:sz w:val="24"/>
      </w:rPr>
    </w:lvl>
    <w:lvl w:ilvl="2">
      <w:start w:val="1"/>
      <w:numFmt w:val="lowerRoman"/>
      <w:lvlText w:val="%3."/>
      <w:lvlJc w:val="left"/>
      <w:pPr>
        <w:tabs>
          <w:tab w:val="num" w:pos="1276"/>
        </w:tabs>
        <w:ind w:left="1275" w:hanging="425"/>
      </w:pPr>
      <w:rPr>
        <w:rFonts w:asciiTheme="minorHAnsi" w:hAnsiTheme="minorHAnsi" w:hint="default"/>
        <w:b w:val="0"/>
        <w:i w:val="0"/>
        <w:color w:val="auto"/>
        <w:sz w:val="24"/>
      </w:rPr>
    </w:lvl>
    <w:lvl w:ilvl="3">
      <w:start w:val="1"/>
      <w:numFmt w:val="upperLetter"/>
      <w:lvlText w:val="%4."/>
      <w:lvlJc w:val="left"/>
      <w:pPr>
        <w:tabs>
          <w:tab w:val="num" w:pos="1701"/>
        </w:tabs>
        <w:ind w:left="1700" w:hanging="425"/>
      </w:pPr>
      <w:rPr>
        <w:rFonts w:asciiTheme="minorHAnsi" w:hAnsiTheme="minorHAnsi" w:hint="default"/>
        <w:b w:val="0"/>
        <w:i w:val="0"/>
        <w:color w:val="auto"/>
        <w:sz w:val="24"/>
      </w:rPr>
    </w:lvl>
    <w:lvl w:ilvl="4">
      <w:start w:val="1"/>
      <w:numFmt w:val="upperRoman"/>
      <w:lvlText w:val="%5."/>
      <w:lvlJc w:val="left"/>
      <w:pPr>
        <w:tabs>
          <w:tab w:val="num" w:pos="2126"/>
        </w:tabs>
        <w:ind w:left="2125" w:hanging="425"/>
      </w:pPr>
      <w:rPr>
        <w:rFonts w:asciiTheme="minorHAnsi" w:hAnsiTheme="minorHAnsi" w:hint="default"/>
        <w:b w:val="0"/>
        <w:i w:val="0"/>
        <w:color w:val="auto"/>
        <w:sz w:val="24"/>
      </w:rPr>
    </w:lvl>
    <w:lvl w:ilvl="5">
      <w:start w:val="1"/>
      <w:numFmt w:val="decimal"/>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21" w15:restartNumberingAfterBreak="0">
    <w:nsid w:val="5DB0627A"/>
    <w:multiLevelType w:val="multilevel"/>
    <w:tmpl w:val="626C565E"/>
    <w:numStyleLink w:val="ListTableBullet"/>
  </w:abstractNum>
  <w:abstractNum w:abstractNumId="22"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3" w15:restartNumberingAfterBreak="0">
    <w:nsid w:val="63626E0D"/>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52F7B44"/>
    <w:multiLevelType w:val="multilevel"/>
    <w:tmpl w:val="84FC2EFA"/>
    <w:lvl w:ilvl="0">
      <w:start w:val="1"/>
      <w:numFmt w:val="bullet"/>
      <w:lvlText w:val=""/>
      <w:lvlJc w:val="left"/>
      <w:pPr>
        <w:tabs>
          <w:tab w:val="num" w:pos="425"/>
        </w:tabs>
        <w:ind w:left="425" w:hanging="425"/>
      </w:pPr>
      <w:rPr>
        <w:rFonts w:ascii="Symbol" w:hAnsi="Symbo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851"/>
        </w:tabs>
        <w:ind w:left="850" w:hanging="425"/>
      </w:pPr>
      <w:rPr>
        <w:rFonts w:ascii="Symbol" w:hAnsi="Symbol" w:hint="default"/>
        <w:b w:val="0"/>
        <w:i w:val="0"/>
        <w:color w:val="auto"/>
        <w:sz w:val="24"/>
      </w:rPr>
    </w:lvl>
    <w:lvl w:ilvl="2">
      <w:start w:val="1"/>
      <w:numFmt w:val="lowerRoman"/>
      <w:lvlText w:val="%3."/>
      <w:lvlJc w:val="left"/>
      <w:pPr>
        <w:tabs>
          <w:tab w:val="num" w:pos="1276"/>
        </w:tabs>
        <w:ind w:left="1275" w:hanging="425"/>
      </w:pPr>
      <w:rPr>
        <w:rFonts w:asciiTheme="minorHAnsi" w:hAnsiTheme="minorHAnsi" w:hint="default"/>
        <w:b w:val="0"/>
        <w:i w:val="0"/>
        <w:color w:val="auto"/>
        <w:sz w:val="24"/>
      </w:rPr>
    </w:lvl>
    <w:lvl w:ilvl="3">
      <w:start w:val="1"/>
      <w:numFmt w:val="upperLetter"/>
      <w:lvlText w:val="%4."/>
      <w:lvlJc w:val="left"/>
      <w:pPr>
        <w:tabs>
          <w:tab w:val="num" w:pos="1701"/>
        </w:tabs>
        <w:ind w:left="1700" w:hanging="425"/>
      </w:pPr>
      <w:rPr>
        <w:rFonts w:asciiTheme="minorHAnsi" w:hAnsiTheme="minorHAnsi" w:hint="default"/>
        <w:b w:val="0"/>
        <w:i w:val="0"/>
        <w:color w:val="auto"/>
        <w:sz w:val="24"/>
      </w:rPr>
    </w:lvl>
    <w:lvl w:ilvl="4">
      <w:start w:val="1"/>
      <w:numFmt w:val="upperRoman"/>
      <w:lvlText w:val="%5."/>
      <w:lvlJc w:val="left"/>
      <w:pPr>
        <w:tabs>
          <w:tab w:val="num" w:pos="2126"/>
        </w:tabs>
        <w:ind w:left="2125" w:hanging="425"/>
      </w:pPr>
      <w:rPr>
        <w:rFonts w:asciiTheme="minorHAnsi" w:hAnsiTheme="minorHAnsi" w:hint="default"/>
        <w:b w:val="0"/>
        <w:i w:val="0"/>
        <w:color w:val="auto"/>
        <w:sz w:val="24"/>
      </w:rPr>
    </w:lvl>
    <w:lvl w:ilvl="5">
      <w:start w:val="1"/>
      <w:numFmt w:val="decimal"/>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25" w15:restartNumberingAfterBreak="0">
    <w:nsid w:val="661F7FA4"/>
    <w:multiLevelType w:val="multilevel"/>
    <w:tmpl w:val="BDFC207A"/>
    <w:numStyleLink w:val="ListTableNumber"/>
  </w:abstractNum>
  <w:abstractNum w:abstractNumId="26" w15:restartNumberingAfterBreak="0">
    <w:nsid w:val="7139706E"/>
    <w:multiLevelType w:val="multilevel"/>
    <w:tmpl w:val="11C64328"/>
    <w:numStyleLink w:val="ListParagraph"/>
  </w:abstractNum>
  <w:abstractNum w:abstractNumId="27" w15:restartNumberingAfterBreak="0">
    <w:nsid w:val="7BF71192"/>
    <w:multiLevelType w:val="multilevel"/>
    <w:tmpl w:val="3D72C964"/>
    <w:lvl w:ilvl="0">
      <w:start w:val="1"/>
      <w:numFmt w:val="bullet"/>
      <w:lvlText w:val=""/>
      <w:lvlJc w:val="left"/>
      <w:pPr>
        <w:tabs>
          <w:tab w:val="num" w:pos="425"/>
        </w:tabs>
        <w:ind w:left="425" w:hanging="425"/>
      </w:pPr>
      <w:rPr>
        <w:rFonts w:ascii="Symbol" w:hAnsi="Symbo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1"/>
        </w:tabs>
        <w:ind w:left="850" w:hanging="425"/>
      </w:pPr>
      <w:rPr>
        <w:rFonts w:asciiTheme="minorHAnsi" w:hAnsiTheme="minorHAnsi" w:hint="default"/>
        <w:b w:val="0"/>
        <w:i w:val="0"/>
        <w:color w:val="auto"/>
        <w:sz w:val="24"/>
      </w:rPr>
    </w:lvl>
    <w:lvl w:ilvl="2">
      <w:start w:val="1"/>
      <w:numFmt w:val="lowerRoman"/>
      <w:lvlText w:val="%3."/>
      <w:lvlJc w:val="left"/>
      <w:pPr>
        <w:tabs>
          <w:tab w:val="num" w:pos="1276"/>
        </w:tabs>
        <w:ind w:left="1275" w:hanging="425"/>
      </w:pPr>
      <w:rPr>
        <w:rFonts w:asciiTheme="minorHAnsi" w:hAnsiTheme="minorHAnsi" w:hint="default"/>
        <w:b w:val="0"/>
        <w:i w:val="0"/>
        <w:color w:val="auto"/>
        <w:sz w:val="24"/>
      </w:rPr>
    </w:lvl>
    <w:lvl w:ilvl="3">
      <w:start w:val="1"/>
      <w:numFmt w:val="upperLetter"/>
      <w:lvlText w:val="%4."/>
      <w:lvlJc w:val="left"/>
      <w:pPr>
        <w:tabs>
          <w:tab w:val="num" w:pos="1701"/>
        </w:tabs>
        <w:ind w:left="1700" w:hanging="425"/>
      </w:pPr>
      <w:rPr>
        <w:rFonts w:asciiTheme="minorHAnsi" w:hAnsiTheme="minorHAnsi" w:hint="default"/>
        <w:b w:val="0"/>
        <w:i w:val="0"/>
        <w:color w:val="auto"/>
        <w:sz w:val="24"/>
      </w:rPr>
    </w:lvl>
    <w:lvl w:ilvl="4">
      <w:start w:val="1"/>
      <w:numFmt w:val="upperRoman"/>
      <w:lvlText w:val="%5."/>
      <w:lvlJc w:val="left"/>
      <w:pPr>
        <w:tabs>
          <w:tab w:val="num" w:pos="2126"/>
        </w:tabs>
        <w:ind w:left="2125" w:hanging="425"/>
      </w:pPr>
      <w:rPr>
        <w:rFonts w:asciiTheme="minorHAnsi" w:hAnsiTheme="minorHAnsi" w:hint="default"/>
        <w:b w:val="0"/>
        <w:i w:val="0"/>
        <w:color w:val="auto"/>
        <w:sz w:val="24"/>
      </w:rPr>
    </w:lvl>
    <w:lvl w:ilvl="5">
      <w:start w:val="1"/>
      <w:numFmt w:val="decimal"/>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28"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8"/>
  </w:num>
  <w:num w:numId="2">
    <w:abstractNumId w:val="14"/>
  </w:num>
  <w:num w:numId="3">
    <w:abstractNumId w:val="1"/>
  </w:num>
  <w:num w:numId="4">
    <w:abstractNumId w:val="5"/>
  </w:num>
  <w:num w:numId="5">
    <w:abstractNumId w:val="22"/>
  </w:num>
  <w:num w:numId="6">
    <w:abstractNumId w:val="26"/>
  </w:num>
  <w:num w:numId="7">
    <w:abstractNumId w:val="9"/>
    <w:lvlOverride w:ilvl="0">
      <w:lvl w:ilvl="0">
        <w:start w:val="1"/>
        <w:numFmt w:val="decimal"/>
        <w:lvlText w:val="%1."/>
        <w:lvlJc w:val="left"/>
        <w:pPr>
          <w:tabs>
            <w:tab w:val="num" w:pos="284"/>
          </w:tabs>
          <w:ind w:left="284" w:hanging="284"/>
        </w:pPr>
        <w:rPr>
          <w:rFonts w:asciiTheme="minorHAnsi" w:hAnsiTheme="minorHAnsi" w:hint="default"/>
          <w:b w:val="0"/>
          <w:i w:val="0"/>
          <w:color w:val="auto"/>
          <w:sz w:val="20"/>
          <w:szCs w:val="21"/>
        </w:rPr>
      </w:lvl>
    </w:lvlOverride>
  </w:num>
  <w:num w:numId="8">
    <w:abstractNumId w:val="19"/>
  </w:num>
  <w:num w:numId="9">
    <w:abstractNumId w:val="17"/>
  </w:num>
  <w:num w:numId="10">
    <w:abstractNumId w:val="3"/>
  </w:num>
  <w:num w:numId="11">
    <w:abstractNumId w:val="8"/>
  </w:num>
  <w:num w:numId="12">
    <w:abstractNumId w:val="7"/>
  </w:num>
  <w:num w:numId="13">
    <w:abstractNumId w:val="2"/>
  </w:num>
  <w:num w:numId="14">
    <w:abstractNumId w:val="10"/>
  </w:num>
  <w:num w:numId="15">
    <w:abstractNumId w:val="25"/>
  </w:num>
  <w:num w:numId="16">
    <w:abstractNumId w:val="18"/>
  </w:num>
  <w:num w:numId="17">
    <w:abstractNumId w:val="18"/>
  </w:num>
  <w:num w:numId="18">
    <w:abstractNumId w:val="18"/>
  </w:num>
  <w:num w:numId="19">
    <w:abstractNumId w:val="18"/>
  </w:num>
  <w:num w:numId="20">
    <w:abstractNumId w:val="18"/>
  </w:num>
  <w:num w:numId="21">
    <w:abstractNumId w:val="18"/>
  </w:num>
  <w:num w:numId="22">
    <w:abstractNumId w:val="8"/>
  </w:num>
  <w:num w:numId="23">
    <w:abstractNumId w:val="5"/>
  </w:num>
  <w:num w:numId="24">
    <w:abstractNumId w:val="21"/>
  </w:num>
  <w:num w:numId="25">
    <w:abstractNumId w:val="21"/>
  </w:num>
  <w:num w:numId="26">
    <w:abstractNumId w:val="23"/>
  </w:num>
  <w:num w:numId="27">
    <w:abstractNumId w:val="8"/>
  </w:num>
  <w:num w:numId="28">
    <w:abstractNumId w:val="8"/>
  </w:num>
  <w:num w:numId="29">
    <w:abstractNumId w:val="11"/>
  </w:num>
  <w:num w:numId="30">
    <w:abstractNumId w:val="6"/>
  </w:num>
  <w:num w:numId="31">
    <w:abstractNumId w:val="0"/>
  </w:num>
  <w:num w:numId="32">
    <w:abstractNumId w:val="4"/>
  </w:num>
  <w:num w:numId="33">
    <w:abstractNumId w:val="12"/>
  </w:num>
  <w:num w:numId="34">
    <w:abstractNumId w:val="20"/>
  </w:num>
  <w:num w:numId="35">
    <w:abstractNumId w:val="16"/>
  </w:num>
  <w:num w:numId="36">
    <w:abstractNumId w:val="27"/>
  </w:num>
  <w:num w:numId="37">
    <w:abstractNumId w:val="15"/>
  </w:num>
  <w:num w:numId="38">
    <w:abstractNumId w:val="13"/>
  </w:num>
  <w:num w:numId="39">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7BA"/>
    <w:rsid w:val="00006100"/>
    <w:rsid w:val="00025426"/>
    <w:rsid w:val="0003086B"/>
    <w:rsid w:val="000329E6"/>
    <w:rsid w:val="000358CA"/>
    <w:rsid w:val="000407BA"/>
    <w:rsid w:val="000427B8"/>
    <w:rsid w:val="00071C7D"/>
    <w:rsid w:val="00072EC2"/>
    <w:rsid w:val="00076F97"/>
    <w:rsid w:val="00077147"/>
    <w:rsid w:val="000870BB"/>
    <w:rsid w:val="00087D93"/>
    <w:rsid w:val="000942CA"/>
    <w:rsid w:val="000A16E2"/>
    <w:rsid w:val="000A2C40"/>
    <w:rsid w:val="000B0BC8"/>
    <w:rsid w:val="000B3EBE"/>
    <w:rsid w:val="000B6FA1"/>
    <w:rsid w:val="000C0C22"/>
    <w:rsid w:val="000C1D1E"/>
    <w:rsid w:val="000C5684"/>
    <w:rsid w:val="000C6353"/>
    <w:rsid w:val="000E5C51"/>
    <w:rsid w:val="000F4A35"/>
    <w:rsid w:val="001063C6"/>
    <w:rsid w:val="0013218E"/>
    <w:rsid w:val="00145CCD"/>
    <w:rsid w:val="001505D8"/>
    <w:rsid w:val="00154790"/>
    <w:rsid w:val="00156423"/>
    <w:rsid w:val="001600E5"/>
    <w:rsid w:val="0017717D"/>
    <w:rsid w:val="001829A7"/>
    <w:rsid w:val="00185154"/>
    <w:rsid w:val="0019114D"/>
    <w:rsid w:val="001B106F"/>
    <w:rsid w:val="001B2140"/>
    <w:rsid w:val="001C04F8"/>
    <w:rsid w:val="001C7191"/>
    <w:rsid w:val="001D45CC"/>
    <w:rsid w:val="001E3900"/>
    <w:rsid w:val="001F16CA"/>
    <w:rsid w:val="002078C1"/>
    <w:rsid w:val="002106C4"/>
    <w:rsid w:val="00210DEF"/>
    <w:rsid w:val="00222215"/>
    <w:rsid w:val="00224AFF"/>
    <w:rsid w:val="00230355"/>
    <w:rsid w:val="0025119D"/>
    <w:rsid w:val="00252201"/>
    <w:rsid w:val="00254DD8"/>
    <w:rsid w:val="0026096E"/>
    <w:rsid w:val="00275BB9"/>
    <w:rsid w:val="00291FEC"/>
    <w:rsid w:val="002A590E"/>
    <w:rsid w:val="002B121E"/>
    <w:rsid w:val="002B4003"/>
    <w:rsid w:val="002C5B1C"/>
    <w:rsid w:val="002C6111"/>
    <w:rsid w:val="002D0BA8"/>
    <w:rsid w:val="002D4062"/>
    <w:rsid w:val="002D4254"/>
    <w:rsid w:val="002D492F"/>
    <w:rsid w:val="002D4E6E"/>
    <w:rsid w:val="002D61B3"/>
    <w:rsid w:val="002E1BA6"/>
    <w:rsid w:val="002F15C2"/>
    <w:rsid w:val="002F24B1"/>
    <w:rsid w:val="002F25F1"/>
    <w:rsid w:val="002F2F7A"/>
    <w:rsid w:val="002F4862"/>
    <w:rsid w:val="00301893"/>
    <w:rsid w:val="00311C33"/>
    <w:rsid w:val="0031239C"/>
    <w:rsid w:val="003334AB"/>
    <w:rsid w:val="003411DD"/>
    <w:rsid w:val="0037398C"/>
    <w:rsid w:val="0037618F"/>
    <w:rsid w:val="00380C8B"/>
    <w:rsid w:val="003853C1"/>
    <w:rsid w:val="003855C2"/>
    <w:rsid w:val="00396860"/>
    <w:rsid w:val="003A04C1"/>
    <w:rsid w:val="003A08A5"/>
    <w:rsid w:val="003B0945"/>
    <w:rsid w:val="003B097F"/>
    <w:rsid w:val="003B4DCF"/>
    <w:rsid w:val="003C4E50"/>
    <w:rsid w:val="003D3B71"/>
    <w:rsid w:val="003D56AF"/>
    <w:rsid w:val="003E0013"/>
    <w:rsid w:val="003E1EF3"/>
    <w:rsid w:val="003E269E"/>
    <w:rsid w:val="003E2E43"/>
    <w:rsid w:val="003E5319"/>
    <w:rsid w:val="003E5532"/>
    <w:rsid w:val="003F467F"/>
    <w:rsid w:val="00404366"/>
    <w:rsid w:val="00404615"/>
    <w:rsid w:val="004066A7"/>
    <w:rsid w:val="00407776"/>
    <w:rsid w:val="00407C57"/>
    <w:rsid w:val="004254BC"/>
    <w:rsid w:val="004261DA"/>
    <w:rsid w:val="00427353"/>
    <w:rsid w:val="0043564D"/>
    <w:rsid w:val="0043628A"/>
    <w:rsid w:val="00444AE6"/>
    <w:rsid w:val="004478FD"/>
    <w:rsid w:val="004515AD"/>
    <w:rsid w:val="0045173A"/>
    <w:rsid w:val="004700B3"/>
    <w:rsid w:val="00476206"/>
    <w:rsid w:val="00491C59"/>
    <w:rsid w:val="004B5704"/>
    <w:rsid w:val="004B7DAE"/>
    <w:rsid w:val="004E79A4"/>
    <w:rsid w:val="004F2A3C"/>
    <w:rsid w:val="004F3D6F"/>
    <w:rsid w:val="0051056D"/>
    <w:rsid w:val="00512865"/>
    <w:rsid w:val="005205E2"/>
    <w:rsid w:val="00523D82"/>
    <w:rsid w:val="00524109"/>
    <w:rsid w:val="005331C9"/>
    <w:rsid w:val="00546D8E"/>
    <w:rsid w:val="0055219D"/>
    <w:rsid w:val="0055353F"/>
    <w:rsid w:val="0056633F"/>
    <w:rsid w:val="005713E5"/>
    <w:rsid w:val="0058605D"/>
    <w:rsid w:val="005A3155"/>
    <w:rsid w:val="005A435A"/>
    <w:rsid w:val="005A6E98"/>
    <w:rsid w:val="005B0C40"/>
    <w:rsid w:val="005C56E5"/>
    <w:rsid w:val="005D15BB"/>
    <w:rsid w:val="005D402F"/>
    <w:rsid w:val="005D620B"/>
    <w:rsid w:val="005E259B"/>
    <w:rsid w:val="005E7717"/>
    <w:rsid w:val="005F3E5B"/>
    <w:rsid w:val="005F7808"/>
    <w:rsid w:val="006025ED"/>
    <w:rsid w:val="006078C2"/>
    <w:rsid w:val="0061089F"/>
    <w:rsid w:val="006209B4"/>
    <w:rsid w:val="00627256"/>
    <w:rsid w:val="00627B04"/>
    <w:rsid w:val="00633235"/>
    <w:rsid w:val="00635822"/>
    <w:rsid w:val="00644510"/>
    <w:rsid w:val="00644F6B"/>
    <w:rsid w:val="0065325A"/>
    <w:rsid w:val="00657C05"/>
    <w:rsid w:val="0066091F"/>
    <w:rsid w:val="0067276D"/>
    <w:rsid w:val="00674316"/>
    <w:rsid w:val="00674D34"/>
    <w:rsid w:val="00684E74"/>
    <w:rsid w:val="006A1801"/>
    <w:rsid w:val="006B695E"/>
    <w:rsid w:val="006C0422"/>
    <w:rsid w:val="006C13E8"/>
    <w:rsid w:val="006C26C2"/>
    <w:rsid w:val="006D22C5"/>
    <w:rsid w:val="006D51BC"/>
    <w:rsid w:val="006E7D1F"/>
    <w:rsid w:val="00701D48"/>
    <w:rsid w:val="00706376"/>
    <w:rsid w:val="0070660C"/>
    <w:rsid w:val="0072368E"/>
    <w:rsid w:val="00733354"/>
    <w:rsid w:val="00757A95"/>
    <w:rsid w:val="007606BC"/>
    <w:rsid w:val="0076352D"/>
    <w:rsid w:val="0076584B"/>
    <w:rsid w:val="00770BF1"/>
    <w:rsid w:val="00774E81"/>
    <w:rsid w:val="00776CC0"/>
    <w:rsid w:val="00787EAE"/>
    <w:rsid w:val="0079432C"/>
    <w:rsid w:val="00794B84"/>
    <w:rsid w:val="00797C82"/>
    <w:rsid w:val="007A2CA5"/>
    <w:rsid w:val="007A5346"/>
    <w:rsid w:val="007B1B14"/>
    <w:rsid w:val="007C30BE"/>
    <w:rsid w:val="007D3561"/>
    <w:rsid w:val="007D36E6"/>
    <w:rsid w:val="007E22F6"/>
    <w:rsid w:val="007E480A"/>
    <w:rsid w:val="00806ADF"/>
    <w:rsid w:val="00817D6F"/>
    <w:rsid w:val="00820A42"/>
    <w:rsid w:val="00822503"/>
    <w:rsid w:val="0084171C"/>
    <w:rsid w:val="00844D4E"/>
    <w:rsid w:val="00845732"/>
    <w:rsid w:val="008572D9"/>
    <w:rsid w:val="00861E13"/>
    <w:rsid w:val="00892496"/>
    <w:rsid w:val="008A6F22"/>
    <w:rsid w:val="008B17B1"/>
    <w:rsid w:val="008B5C83"/>
    <w:rsid w:val="008B5D8F"/>
    <w:rsid w:val="008D2C93"/>
    <w:rsid w:val="008E40E7"/>
    <w:rsid w:val="008F046D"/>
    <w:rsid w:val="008F4E0B"/>
    <w:rsid w:val="00907866"/>
    <w:rsid w:val="009142FE"/>
    <w:rsid w:val="00914EB5"/>
    <w:rsid w:val="00926F32"/>
    <w:rsid w:val="009453E1"/>
    <w:rsid w:val="0095059E"/>
    <w:rsid w:val="009571D7"/>
    <w:rsid w:val="00984C50"/>
    <w:rsid w:val="00985395"/>
    <w:rsid w:val="009974E9"/>
    <w:rsid w:val="009A199C"/>
    <w:rsid w:val="009A1E0A"/>
    <w:rsid w:val="009B01E2"/>
    <w:rsid w:val="009C4BA9"/>
    <w:rsid w:val="009E156E"/>
    <w:rsid w:val="009E3BCF"/>
    <w:rsid w:val="009E4983"/>
    <w:rsid w:val="009E539B"/>
    <w:rsid w:val="009F6CE7"/>
    <w:rsid w:val="00A04C49"/>
    <w:rsid w:val="00A07960"/>
    <w:rsid w:val="00A10D2C"/>
    <w:rsid w:val="00A1355B"/>
    <w:rsid w:val="00A2561E"/>
    <w:rsid w:val="00A27A07"/>
    <w:rsid w:val="00A321E3"/>
    <w:rsid w:val="00A3479E"/>
    <w:rsid w:val="00A41250"/>
    <w:rsid w:val="00A41D4E"/>
    <w:rsid w:val="00A43ABF"/>
    <w:rsid w:val="00A50A7D"/>
    <w:rsid w:val="00A52A8F"/>
    <w:rsid w:val="00A567C3"/>
    <w:rsid w:val="00A63844"/>
    <w:rsid w:val="00A63A32"/>
    <w:rsid w:val="00A640FF"/>
    <w:rsid w:val="00A64CB3"/>
    <w:rsid w:val="00A711F0"/>
    <w:rsid w:val="00A83B38"/>
    <w:rsid w:val="00A85DAC"/>
    <w:rsid w:val="00A862B1"/>
    <w:rsid w:val="00A95934"/>
    <w:rsid w:val="00AA6010"/>
    <w:rsid w:val="00AB2762"/>
    <w:rsid w:val="00AC3F87"/>
    <w:rsid w:val="00AC65C5"/>
    <w:rsid w:val="00AD6EC2"/>
    <w:rsid w:val="00AE4328"/>
    <w:rsid w:val="00AE4C26"/>
    <w:rsid w:val="00AE66ED"/>
    <w:rsid w:val="00AE66EF"/>
    <w:rsid w:val="00AF2204"/>
    <w:rsid w:val="00B012F3"/>
    <w:rsid w:val="00B1273F"/>
    <w:rsid w:val="00B34C5D"/>
    <w:rsid w:val="00B53493"/>
    <w:rsid w:val="00B55D18"/>
    <w:rsid w:val="00B56CC8"/>
    <w:rsid w:val="00B65281"/>
    <w:rsid w:val="00B668FB"/>
    <w:rsid w:val="00B76B56"/>
    <w:rsid w:val="00B76B8E"/>
    <w:rsid w:val="00B8347A"/>
    <w:rsid w:val="00B95E4C"/>
    <w:rsid w:val="00BA45AE"/>
    <w:rsid w:val="00BA4F4A"/>
    <w:rsid w:val="00BA66AD"/>
    <w:rsid w:val="00BB49AA"/>
    <w:rsid w:val="00BC259B"/>
    <w:rsid w:val="00BC2DD3"/>
    <w:rsid w:val="00BC67B1"/>
    <w:rsid w:val="00BC6B51"/>
    <w:rsid w:val="00BD2297"/>
    <w:rsid w:val="00BD46D2"/>
    <w:rsid w:val="00BD7CF3"/>
    <w:rsid w:val="00BE16D4"/>
    <w:rsid w:val="00BF2C53"/>
    <w:rsid w:val="00C000C3"/>
    <w:rsid w:val="00C02E60"/>
    <w:rsid w:val="00C10095"/>
    <w:rsid w:val="00C135E7"/>
    <w:rsid w:val="00C15A30"/>
    <w:rsid w:val="00C240FD"/>
    <w:rsid w:val="00C2417C"/>
    <w:rsid w:val="00C24374"/>
    <w:rsid w:val="00C302EF"/>
    <w:rsid w:val="00C74C53"/>
    <w:rsid w:val="00C95C3E"/>
    <w:rsid w:val="00C97431"/>
    <w:rsid w:val="00CA0E9A"/>
    <w:rsid w:val="00CA1854"/>
    <w:rsid w:val="00CA2CB3"/>
    <w:rsid w:val="00CB15F6"/>
    <w:rsid w:val="00CB301B"/>
    <w:rsid w:val="00CF3A4E"/>
    <w:rsid w:val="00D13795"/>
    <w:rsid w:val="00D241D3"/>
    <w:rsid w:val="00D24EC3"/>
    <w:rsid w:val="00D253E1"/>
    <w:rsid w:val="00D27FA8"/>
    <w:rsid w:val="00D365D3"/>
    <w:rsid w:val="00D36703"/>
    <w:rsid w:val="00D42F7B"/>
    <w:rsid w:val="00D5006C"/>
    <w:rsid w:val="00D512FD"/>
    <w:rsid w:val="00D55089"/>
    <w:rsid w:val="00D5766D"/>
    <w:rsid w:val="00D65684"/>
    <w:rsid w:val="00D84540"/>
    <w:rsid w:val="00DA76FA"/>
    <w:rsid w:val="00DB2B49"/>
    <w:rsid w:val="00DC095E"/>
    <w:rsid w:val="00DC28FE"/>
    <w:rsid w:val="00DC290C"/>
    <w:rsid w:val="00DC33B4"/>
    <w:rsid w:val="00DC425A"/>
    <w:rsid w:val="00DC7811"/>
    <w:rsid w:val="00DD4656"/>
    <w:rsid w:val="00DE79B0"/>
    <w:rsid w:val="00DF01DF"/>
    <w:rsid w:val="00DF143E"/>
    <w:rsid w:val="00DF5144"/>
    <w:rsid w:val="00E018FB"/>
    <w:rsid w:val="00E10543"/>
    <w:rsid w:val="00E116ED"/>
    <w:rsid w:val="00E135C8"/>
    <w:rsid w:val="00E17CE0"/>
    <w:rsid w:val="00E21B7F"/>
    <w:rsid w:val="00E21D10"/>
    <w:rsid w:val="00E21DC0"/>
    <w:rsid w:val="00E323B3"/>
    <w:rsid w:val="00E417DE"/>
    <w:rsid w:val="00E4248F"/>
    <w:rsid w:val="00E6763B"/>
    <w:rsid w:val="00E80E8E"/>
    <w:rsid w:val="00EA1FFD"/>
    <w:rsid w:val="00EB45D2"/>
    <w:rsid w:val="00EB58BD"/>
    <w:rsid w:val="00EB6D30"/>
    <w:rsid w:val="00EC0035"/>
    <w:rsid w:val="00EC0FFC"/>
    <w:rsid w:val="00EC3CE8"/>
    <w:rsid w:val="00EC4C2B"/>
    <w:rsid w:val="00EC55F5"/>
    <w:rsid w:val="00ED2A01"/>
    <w:rsid w:val="00ED2E33"/>
    <w:rsid w:val="00ED3024"/>
    <w:rsid w:val="00ED71B6"/>
    <w:rsid w:val="00EE5474"/>
    <w:rsid w:val="00EF0E10"/>
    <w:rsid w:val="00EF2076"/>
    <w:rsid w:val="00EF2AFB"/>
    <w:rsid w:val="00F05CA6"/>
    <w:rsid w:val="00F27A91"/>
    <w:rsid w:val="00F33D5C"/>
    <w:rsid w:val="00F431FB"/>
    <w:rsid w:val="00F53ACB"/>
    <w:rsid w:val="00F5624F"/>
    <w:rsid w:val="00F60E46"/>
    <w:rsid w:val="00F6184E"/>
    <w:rsid w:val="00F8007E"/>
    <w:rsid w:val="00F81C8A"/>
    <w:rsid w:val="00F84805"/>
    <w:rsid w:val="00F85E41"/>
    <w:rsid w:val="00F8788B"/>
    <w:rsid w:val="00F91F25"/>
    <w:rsid w:val="00FA2B02"/>
    <w:rsid w:val="00FB0541"/>
    <w:rsid w:val="00FB1115"/>
    <w:rsid w:val="00FB4181"/>
    <w:rsid w:val="00FB4AE4"/>
    <w:rsid w:val="00FD5739"/>
    <w:rsid w:val="00FE5CDD"/>
    <w:rsid w:val="00FE7A02"/>
    <w:rsid w:val="00FF0368"/>
    <w:rsid w:val="00FF5BE7"/>
    <w:rsid w:val="00FF781B"/>
  </w:rsids>
  <m:mathPr>
    <m:mathFont m:val="Cambria Math"/>
    <m:brkBin m:val="before"/>
    <m:brkBinSub m:val="--"/>
    <m:smallFrac/>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C12F46"/>
  <w15:chartTrackingRefBased/>
  <w15:docId w15:val="{66863FC6-09F1-4EFC-89C4-1E8A17DE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zh-CN"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66D"/>
    <w:pPr>
      <w:spacing w:before="0" w:after="0"/>
    </w:pPr>
  </w:style>
  <w:style w:type="paragraph" w:styleId="Heading1">
    <w:name w:val="heading 1"/>
    <w:basedOn w:val="Normal"/>
    <w:next w:val="BodyText"/>
    <w:link w:val="Heading1Char"/>
    <w:qFormat/>
    <w:rsid w:val="00EC55F5"/>
    <w:pPr>
      <w:keepNext/>
      <w:keepLines/>
      <w:widowControl w:val="0"/>
      <w:numPr>
        <w:numId w:val="26"/>
      </w:numPr>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EC55F5"/>
    <w:pPr>
      <w:keepNext/>
      <w:keepLines/>
      <w:numPr>
        <w:ilvl w:val="1"/>
        <w:numId w:val="26"/>
      </w:numPr>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numPr>
        <w:ilvl w:val="2"/>
        <w:numId w:val="26"/>
      </w:numPr>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rsid w:val="009E3BCF"/>
    <w:pPr>
      <w:keepNext/>
      <w:keepLines/>
      <w:numPr>
        <w:ilvl w:val="3"/>
        <w:numId w:val="26"/>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numPr>
        <w:ilvl w:val="4"/>
        <w:numId w:val="26"/>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numPr>
        <w:ilvl w:val="5"/>
        <w:numId w:val="26"/>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9"/>
      </w:numPr>
      <w:tabs>
        <w:tab w:val="right" w:leader="dot" w:pos="8789"/>
      </w:tabs>
    </w:pPr>
  </w:style>
  <w:style w:type="paragraph" w:customStyle="1" w:styleId="NbrHeading2">
    <w:name w:val="Nbr Heading 2"/>
    <w:basedOn w:val="Heading2"/>
    <w:qFormat/>
    <w:rsid w:val="00291FEC"/>
    <w:pPr>
      <w:numPr>
        <w:numId w:val="9"/>
      </w:numPr>
    </w:pPr>
  </w:style>
  <w:style w:type="paragraph" w:customStyle="1" w:styleId="NbrHeading3">
    <w:name w:val="Nbr Heading 3"/>
    <w:basedOn w:val="Heading3"/>
    <w:qFormat/>
    <w:rsid w:val="00291FEC"/>
    <w:pPr>
      <w:numPr>
        <w:numId w:val="9"/>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2D4062"/>
    <w:rPr>
      <w:noProof/>
      <w:sz w:val="18"/>
    </w:rPr>
  </w:style>
  <w:style w:type="paragraph" w:styleId="ListNumber0">
    <w:name w:val="List Number"/>
    <w:basedOn w:val="Normal"/>
    <w:uiPriority w:val="1"/>
    <w:qFormat/>
    <w:rsid w:val="008B5C83"/>
    <w:pPr>
      <w:numPr>
        <w:numId w:val="12"/>
      </w:numPr>
      <w:spacing w:before="120" w:line="264" w:lineRule="auto"/>
    </w:pPr>
    <w:rPr>
      <w:rFonts w:eastAsia="Times New Roman" w:cs="Times New Roman"/>
      <w:szCs w:val="24"/>
      <w:lang w:eastAsia="en-AU"/>
    </w:rPr>
  </w:style>
  <w:style w:type="paragraph" w:styleId="ListBullet0">
    <w:name w:val="List Bullet"/>
    <w:basedOn w:val="Normal"/>
    <w:autoRedefine/>
    <w:uiPriority w:val="1"/>
    <w:qFormat/>
    <w:rsid w:val="00E417DE"/>
    <w:pPr>
      <w:numPr>
        <w:numId w:val="28"/>
      </w:numPr>
      <w:spacing w:before="120" w:line="264" w:lineRule="auto"/>
    </w:pPr>
    <w:rPr>
      <w:rFonts w:eastAsia="Times New Roman" w:cs="Times New Roman"/>
      <w:sz w:val="24"/>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D5766D"/>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8B5C83"/>
    <w:pPr>
      <w:spacing w:before="60" w:after="60"/>
    </w:pPr>
    <w:rPr>
      <w:b/>
      <w:color w:val="FFFFFF" w:themeColor="background1"/>
    </w:rPr>
  </w:style>
  <w:style w:type="paragraph" w:customStyle="1" w:styleId="TableBody">
    <w:name w:val="Table Body"/>
    <w:basedOn w:val="Normal"/>
    <w:uiPriority w:val="3"/>
    <w:qFormat/>
    <w:rsid w:val="00A95934"/>
    <w:pPr>
      <w:spacing w:before="60" w:after="60"/>
    </w:pPr>
  </w:style>
  <w:style w:type="paragraph" w:customStyle="1" w:styleId="TableBullet">
    <w:name w:val="Table Bullet"/>
    <w:basedOn w:val="Normal"/>
    <w:uiPriority w:val="4"/>
    <w:qFormat/>
    <w:rsid w:val="00404366"/>
    <w:pPr>
      <w:numPr>
        <w:numId w:val="2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A95934"/>
    <w:pPr>
      <w:numPr>
        <w:numId w:val="15"/>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B5C83"/>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B5C83"/>
    <w:pPr>
      <w:numPr>
        <w:numId w:val="10"/>
      </w:numPr>
    </w:pPr>
  </w:style>
  <w:style w:type="numbering" w:customStyle="1" w:styleId="ListAlpha">
    <w:name w:val="List_Alpha"/>
    <w:uiPriority w:val="99"/>
    <w:rsid w:val="008B5C83"/>
    <w:pPr>
      <w:numPr>
        <w:numId w:val="10"/>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8F046D"/>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rsid w:val="00D5766D"/>
    <w:rPr>
      <w:color w:val="004B8D" w:themeColor="accent1"/>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B5C83"/>
    <w:pPr>
      <w:numPr>
        <w:ilvl w:val="1"/>
      </w:numPr>
    </w:pPr>
  </w:style>
  <w:style w:type="paragraph" w:customStyle="1" w:styleId="ListAlpha3">
    <w:name w:val="List Alpha 3"/>
    <w:basedOn w:val="ListAlpha2"/>
    <w:uiPriority w:val="19"/>
    <w:rsid w:val="008B5C83"/>
    <w:pPr>
      <w:numPr>
        <w:ilvl w:val="2"/>
      </w:numPr>
    </w:pPr>
  </w:style>
  <w:style w:type="paragraph" w:customStyle="1" w:styleId="ListAlpha4">
    <w:name w:val="List Alpha 4"/>
    <w:basedOn w:val="ListAlpha3"/>
    <w:uiPriority w:val="19"/>
    <w:rsid w:val="008B5C83"/>
    <w:pPr>
      <w:numPr>
        <w:ilvl w:val="3"/>
      </w:numPr>
    </w:pPr>
  </w:style>
  <w:style w:type="paragraph" w:customStyle="1" w:styleId="ListAlpha6">
    <w:name w:val="List Alpha 6"/>
    <w:basedOn w:val="ListAlpha4"/>
    <w:uiPriority w:val="19"/>
    <w:rsid w:val="008B5C83"/>
    <w:pPr>
      <w:numPr>
        <w:ilvl w:val="5"/>
      </w:numPr>
    </w:pPr>
  </w:style>
  <w:style w:type="paragraph" w:customStyle="1" w:styleId="ListAlpha5">
    <w:name w:val="List Alpha 5"/>
    <w:basedOn w:val="ListAlpha6"/>
    <w:uiPriority w:val="19"/>
    <w:rsid w:val="008B5C83"/>
    <w:pPr>
      <w:numPr>
        <w:ilvl w:val="4"/>
        <w:numId w:val="13"/>
      </w:numPr>
    </w:pPr>
  </w:style>
  <w:style w:type="paragraph" w:styleId="ListBullet2">
    <w:name w:val="List Bullet 2"/>
    <w:basedOn w:val="ListBullet0"/>
    <w:uiPriority w:val="19"/>
    <w:rsid w:val="0067276D"/>
    <w:pPr>
      <w:numPr>
        <w:ilvl w:val="1"/>
      </w:numPr>
    </w:pPr>
  </w:style>
  <w:style w:type="paragraph" w:styleId="ListBullet3">
    <w:name w:val="List Bullet 3"/>
    <w:basedOn w:val="ListBullet0"/>
    <w:uiPriority w:val="19"/>
    <w:rsid w:val="00E417DE"/>
    <w:pPr>
      <w:numPr>
        <w:ilvl w:val="2"/>
      </w:numPr>
    </w:pPr>
  </w:style>
  <w:style w:type="paragraph" w:styleId="ListBullet4">
    <w:name w:val="List Bullet 4"/>
    <w:basedOn w:val="ListBullet0"/>
    <w:uiPriority w:val="19"/>
    <w:rsid w:val="00E417DE"/>
    <w:pPr>
      <w:numPr>
        <w:ilvl w:val="3"/>
      </w:numPr>
    </w:pPr>
  </w:style>
  <w:style w:type="paragraph" w:styleId="ListBullet5">
    <w:name w:val="List Bullet 5"/>
    <w:basedOn w:val="ListBullet0"/>
    <w:uiPriority w:val="19"/>
    <w:rsid w:val="00E417DE"/>
    <w:pPr>
      <w:numPr>
        <w:ilvl w:val="4"/>
      </w:numPr>
    </w:pPr>
  </w:style>
  <w:style w:type="paragraph" w:customStyle="1" w:styleId="ListBullet6">
    <w:name w:val="List Bullet 6"/>
    <w:basedOn w:val="ListBullet0"/>
    <w:uiPriority w:val="19"/>
    <w:rsid w:val="00E417DE"/>
    <w:pPr>
      <w:numPr>
        <w:ilvl w:val="5"/>
      </w:numPr>
    </w:pPr>
  </w:style>
  <w:style w:type="paragraph" w:styleId="ListNumber2">
    <w:name w:val="List Number 2"/>
    <w:basedOn w:val="ListNumber0"/>
    <w:uiPriority w:val="19"/>
    <w:rsid w:val="00A95934"/>
    <w:pPr>
      <w:numPr>
        <w:ilvl w:val="1"/>
      </w:numPr>
      <w:spacing w:after="120"/>
    </w:pPr>
  </w:style>
  <w:style w:type="paragraph" w:styleId="ListNumber3">
    <w:name w:val="List Number 3"/>
    <w:basedOn w:val="ListNumber0"/>
    <w:uiPriority w:val="19"/>
    <w:rsid w:val="00A95934"/>
    <w:pPr>
      <w:numPr>
        <w:ilvl w:val="2"/>
      </w:numPr>
      <w:spacing w:after="120"/>
      <w:ind w:left="1276"/>
    </w:pPr>
  </w:style>
  <w:style w:type="paragraph" w:styleId="ListNumber4">
    <w:name w:val="List Number 4"/>
    <w:basedOn w:val="ListNumber0"/>
    <w:uiPriority w:val="19"/>
    <w:rsid w:val="00A95934"/>
    <w:pPr>
      <w:numPr>
        <w:ilvl w:val="3"/>
      </w:numPr>
      <w:spacing w:after="120"/>
      <w:ind w:left="1701"/>
    </w:pPr>
  </w:style>
  <w:style w:type="paragraph" w:styleId="ListNumber5">
    <w:name w:val="List Number 5"/>
    <w:basedOn w:val="ListNumber0"/>
    <w:uiPriority w:val="19"/>
    <w:rsid w:val="00A95934"/>
    <w:pPr>
      <w:numPr>
        <w:ilvl w:val="4"/>
      </w:numPr>
      <w:spacing w:after="120"/>
      <w:ind w:left="2126"/>
    </w:pPr>
  </w:style>
  <w:style w:type="paragraph" w:customStyle="1" w:styleId="ListNumber6">
    <w:name w:val="List Number 6"/>
    <w:basedOn w:val="ListNumber0"/>
    <w:uiPriority w:val="19"/>
    <w:rsid w:val="00A95934"/>
    <w:pPr>
      <w:numPr>
        <w:ilvl w:val="5"/>
      </w:numPr>
      <w:spacing w:after="120"/>
      <w:ind w:left="2551"/>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404366"/>
    <w:pPr>
      <w:numPr>
        <w:numId w:val="11"/>
      </w:numPr>
    </w:pPr>
  </w:style>
  <w:style w:type="numbering" w:customStyle="1" w:styleId="ListNumberedHeadings">
    <w:name w:val="List_NumberedHeadings"/>
    <w:uiPriority w:val="99"/>
    <w:rsid w:val="00291FEC"/>
    <w:pPr>
      <w:numPr>
        <w:numId w:val="2"/>
      </w:numPr>
    </w:pPr>
  </w:style>
  <w:style w:type="numbering" w:customStyle="1" w:styleId="ListTableBullet">
    <w:name w:val="List_TableBullet"/>
    <w:uiPriority w:val="99"/>
    <w:rsid w:val="00404366"/>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404366"/>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A95934"/>
    <w:rPr>
      <w:b w:val="0"/>
      <w:i/>
    </w:rPr>
  </w:style>
  <w:style w:type="table" w:customStyle="1" w:styleId="V2020Table">
    <w:name w:val="V2020 Table"/>
    <w:basedOn w:val="TableNormal"/>
    <w:uiPriority w:val="99"/>
    <w:rsid w:val="008B5C83"/>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8B5C83"/>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8B5C83"/>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8B5C83"/>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8B5C83"/>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1B106F"/>
    <w:pPr>
      <w:spacing w:before="0" w:after="0"/>
    </w:pPr>
    <w:tblPr>
      <w:tblStyleRowBandSize w:val="1"/>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B106F"/>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semiHidden/>
    <w:rsid w:val="00A711F0"/>
    <w:rPr>
      <w:smallCaps/>
      <w:color w:val="5A5A5A" w:themeColor="text1" w:themeTint="A5"/>
    </w:rPr>
  </w:style>
  <w:style w:type="table" w:styleId="PlainTable2">
    <w:name w:val="Plain Table 2"/>
    <w:basedOn w:val="TableNormal"/>
    <w:uiPriority w:val="42"/>
    <w:rsid w:val="00D512FD"/>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ListNumber1">
    <w:name w:val="List_Number1"/>
    <w:uiPriority w:val="99"/>
    <w:rsid w:val="00512865"/>
  </w:style>
  <w:style w:type="numbering" w:customStyle="1" w:styleId="ListAlpha1">
    <w:name w:val="List_Alpha1"/>
    <w:uiPriority w:val="99"/>
    <w:rsid w:val="00512865"/>
  </w:style>
  <w:style w:type="table" w:styleId="TableGridLight">
    <w:name w:val="Grid Table Light"/>
    <w:basedOn w:val="TableNormal"/>
    <w:uiPriority w:val="40"/>
    <w:rsid w:val="00512865"/>
    <w:pPr>
      <w:spacing w:after="0"/>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DC7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4003348">
      <w:bodyDiv w:val="1"/>
      <w:marLeft w:val="0"/>
      <w:marRight w:val="0"/>
      <w:marTop w:val="0"/>
      <w:marBottom w:val="0"/>
      <w:divBdr>
        <w:top w:val="none" w:sz="0" w:space="0" w:color="auto"/>
        <w:left w:val="none" w:sz="0" w:space="0" w:color="auto"/>
        <w:bottom w:val="none" w:sz="0" w:space="0" w:color="auto"/>
        <w:right w:val="none" w:sz="0" w:space="0" w:color="auto"/>
      </w:divBdr>
    </w:div>
    <w:div w:id="195409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sion2020australia.org.au/blog/2020-10-08/celebrating-20-years-of-vision/" TargetMode="External"/><Relationship Id="rId13" Type="http://schemas.openxmlformats.org/officeDocument/2006/relationships/hyperlink" Target="https://www.vision2020australia.org.au/resources/submission-to-the-royal-commission-into-aged-care-quality-and-safety-aged-care-system-governance-market-management-and-roles-and-responsibilities/" TargetMode="External"/><Relationship Id="rId18" Type="http://schemas.openxmlformats.org/officeDocument/2006/relationships/hyperlink" Target="https://www.vision2020australia.org.au/resources/national-preventive-health-strategy-response-to-consultation-questions-september-2020/"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vision2020australia.org.au/resources/adult-referral-pathway/" TargetMode="External"/><Relationship Id="rId7" Type="http://schemas.openxmlformats.org/officeDocument/2006/relationships/endnotes" Target="endnotes.xml"/><Relationship Id="rId12" Type="http://schemas.openxmlformats.org/officeDocument/2006/relationships/hyperlink" Target="https://www.vision2020australia.org.au/resources/national-injury-prevention-strategy-2020-2030-consultation-on-draft-strategy/" TargetMode="External"/><Relationship Id="rId17" Type="http://schemas.openxmlformats.org/officeDocument/2006/relationships/hyperlink" Target="https://www.vision2020australia.org.au/resources/submission-to-the-royal-commission-into-violence-abuse-neglect-and-exploitation-of-people-with-disability-first-nations-peoples-with-disability-blindness-and-low-vision-perspectives/" TargetMode="External"/><Relationship Id="rId25" Type="http://schemas.openxmlformats.org/officeDocument/2006/relationships/hyperlink" Target="https://www.visioninitiative.org.au/" TargetMode="External"/><Relationship Id="rId2" Type="http://schemas.openxmlformats.org/officeDocument/2006/relationships/numbering" Target="numbering.xml"/><Relationship Id="rId16" Type="http://schemas.openxmlformats.org/officeDocument/2006/relationships/hyperlink" Target="https://www.vision2020australia.org.au/resources/submission-to-the-national-disability-insurance-agency-review-of-support-coordination-service-model/" TargetMode="External"/><Relationship Id="rId20" Type="http://schemas.openxmlformats.org/officeDocument/2006/relationships/hyperlink" Target="https://www.vision2020australia.org.au/resources/submission-to-the-department-of-social-services-a-new-national-disability-strateg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sion2020australia.org.au/resources/submission-to-initial-consultation-paper-review-of-regulation-of-aged-care-workforce-june-2020/" TargetMode="External"/><Relationship Id="rId24" Type="http://schemas.openxmlformats.org/officeDocument/2006/relationships/hyperlink" Target="https://www.vision2020australia.org.au/media/2020-11-13/christopher-pyne-focused-on-improving-eye-care-for-all-australians-in-key-peak-body-role" TargetMode="External"/><Relationship Id="rId5" Type="http://schemas.openxmlformats.org/officeDocument/2006/relationships/webSettings" Target="webSettings.xml"/><Relationship Id="rId15" Type="http://schemas.openxmlformats.org/officeDocument/2006/relationships/hyperlink" Target="https://www.vision2020australia.org.au/resources/vision-2020-australia-feedback-on-the-revised-outreach-service-delivery-standards-and-reporting-template/" TargetMode="External"/><Relationship Id="rId23" Type="http://schemas.openxmlformats.org/officeDocument/2006/relationships/hyperlink" Target="https://www.vision2020australia.org.au/media/2020-11-11/amanda-vanstone-ends-term-as-chair-at-vision-2020-australia-agm" TargetMode="External"/><Relationship Id="rId28" Type="http://schemas.openxmlformats.org/officeDocument/2006/relationships/footer" Target="footer2.xml"/><Relationship Id="rId10" Type="http://schemas.openxmlformats.org/officeDocument/2006/relationships/hyperlink" Target="https://www.vision2020australia.org.au/resources/submission-to-the-royal-commission-into-aged-care-quality-and-safety/" TargetMode="External"/><Relationship Id="rId19" Type="http://schemas.openxmlformats.org/officeDocument/2006/relationships/hyperlink" Target="https://www.vision2020australia.org.au/resources/medical-research-future-fund-consultation-to-inform-the-third-australian-medical-research-and-innovation-priorities-2020-2022/" TargetMode="External"/><Relationship Id="rId4" Type="http://schemas.openxmlformats.org/officeDocument/2006/relationships/settings" Target="settings.xml"/><Relationship Id="rId9" Type="http://schemas.openxmlformats.org/officeDocument/2006/relationships/hyperlink" Target="https://www.vision2020australia.org.au/news/2020-08-04/5619/" TargetMode="External"/><Relationship Id="rId14" Type="http://schemas.openxmlformats.org/officeDocument/2006/relationships/hyperlink" Target="https://www.vision2020australia.org.au/resources/5544/" TargetMode="External"/><Relationship Id="rId22" Type="http://schemas.openxmlformats.org/officeDocument/2006/relationships/hyperlink" Target="https://www.vision2020australia.org.au/media/2020-10-29/australian-of-the-year-dr-james-muecke-delivers-inaugural-barry-jones-vision-ovation"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FE364-7645-4D93-A082-45242C1F6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4</Pages>
  <Words>1889</Words>
  <Characters>10772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Jessup</dc:creator>
  <cp:keywords/>
  <dc:description/>
  <cp:lastModifiedBy>Ben Jessup</cp:lastModifiedBy>
  <cp:revision>49</cp:revision>
  <cp:lastPrinted>2019-09-10T06:27:00Z</cp:lastPrinted>
  <dcterms:created xsi:type="dcterms:W3CDTF">2020-12-14T23:39:00Z</dcterms:created>
  <dcterms:modified xsi:type="dcterms:W3CDTF">2020-12-16T23:02:00Z</dcterms:modified>
</cp:coreProperties>
</file>