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44C734" w14:textId="77777777" w:rsidR="003E147C" w:rsidRDefault="003E147C" w:rsidP="00976DA8">
      <w:pPr>
        <w:pStyle w:val="BodyText"/>
      </w:pPr>
    </w:p>
    <w:p w14:paraId="409AFDF7" w14:textId="77777777" w:rsidR="003E147C" w:rsidRDefault="003E147C" w:rsidP="00976DA8">
      <w:pPr>
        <w:pStyle w:val="BodyText"/>
      </w:pPr>
    </w:p>
    <w:p w14:paraId="150DD209" w14:textId="77777777" w:rsidR="003E147C" w:rsidRDefault="003E147C" w:rsidP="00976DA8">
      <w:pPr>
        <w:pStyle w:val="BodyText"/>
      </w:pPr>
    </w:p>
    <w:p w14:paraId="4E3F6CEC" w14:textId="77777777" w:rsidR="003E147C" w:rsidRDefault="003E147C" w:rsidP="00976DA8">
      <w:pPr>
        <w:pStyle w:val="BodyText"/>
      </w:pPr>
    </w:p>
    <w:p w14:paraId="724288C6" w14:textId="45ED00C7" w:rsidR="00976DA8" w:rsidRPr="00EF21F3" w:rsidRDefault="00E4175B" w:rsidP="00976DA8">
      <w:pPr>
        <w:pStyle w:val="BodyText"/>
        <w:rPr>
          <w:rFonts w:cstheme="minorHAnsi"/>
          <w:lang w:eastAsia="en-US"/>
        </w:rPr>
      </w:pPr>
      <w:sdt>
        <w:sdtPr>
          <w:rPr>
            <w:rFonts w:cstheme="minorHAnsi"/>
          </w:rPr>
          <w:alias w:val="Date"/>
          <w:tag w:val="Date"/>
          <w:id w:val="-487551700"/>
          <w:placeholder>
            <w:docPart w:val="A31A103C1DBE4996ABA52B3079C05148"/>
          </w:placeholder>
          <w:date w:fullDate="2021-01-13T00:00:00Z">
            <w:dateFormat w:val="d MMMM yyyy"/>
            <w:lid w:val="en-AU"/>
            <w:storeMappedDataAs w:val="dateTime"/>
            <w:calendar w:val="gregorian"/>
          </w:date>
        </w:sdtPr>
        <w:sdtEndPr/>
        <w:sdtContent>
          <w:r w:rsidR="009D393A">
            <w:rPr>
              <w:rFonts w:cstheme="minorHAnsi"/>
            </w:rPr>
            <w:t>13 January 2021</w:t>
          </w:r>
        </w:sdtContent>
      </w:sdt>
    </w:p>
    <w:p w14:paraId="7D861B79" w14:textId="77777777" w:rsidR="00976DA8" w:rsidRPr="00EF21F3" w:rsidRDefault="003E147C" w:rsidP="00976DA8">
      <w:pPr>
        <w:pStyle w:val="BodyText"/>
        <w:rPr>
          <w:rFonts w:cstheme="minorHAnsi"/>
        </w:rPr>
      </w:pPr>
      <w:r w:rsidRPr="00EF21F3">
        <w:rPr>
          <w:rFonts w:cstheme="minorHAnsi"/>
          <w:noProof/>
        </w:rPr>
        <mc:AlternateContent>
          <mc:Choice Requires="wps">
            <w:drawing>
              <wp:anchor distT="180340" distB="180340" distL="180340" distR="180340" simplePos="0" relativeHeight="251659264" behindDoc="1" locked="1" layoutInCell="1" allowOverlap="1" wp14:anchorId="776F9997" wp14:editId="0F643589">
                <wp:simplePos x="0" y="0"/>
                <wp:positionH relativeFrom="margin">
                  <wp:align>right</wp:align>
                </wp:positionH>
                <wp:positionV relativeFrom="page">
                  <wp:posOffset>540385</wp:posOffset>
                </wp:positionV>
                <wp:extent cx="1512000" cy="3906000"/>
                <wp:effectExtent l="0" t="0" r="0" b="0"/>
                <wp:wrapTight wrapText="bothSides">
                  <wp:wrapPolygon edited="0">
                    <wp:start x="0" y="0"/>
                    <wp:lineTo x="0" y="21484"/>
                    <wp:lineTo x="21228" y="21484"/>
                    <wp:lineTo x="21228" y="0"/>
                    <wp:lineTo x="0" y="0"/>
                  </wp:wrapPolygon>
                </wp:wrapTight>
                <wp:docPr id="2" name="Text Box 2"/>
                <wp:cNvGraphicFramePr/>
                <a:graphic xmlns:a="http://schemas.openxmlformats.org/drawingml/2006/main">
                  <a:graphicData uri="http://schemas.microsoft.com/office/word/2010/wordprocessingShape">
                    <wps:wsp>
                      <wps:cNvSpPr txBox="1"/>
                      <wps:spPr>
                        <a:xfrm>
                          <a:off x="0" y="0"/>
                          <a:ext cx="1512000" cy="3906000"/>
                        </a:xfrm>
                        <a:prstGeom prst="rect">
                          <a:avLst/>
                        </a:prstGeom>
                        <a:solidFill>
                          <a:schemeClr val="lt1"/>
                        </a:solidFill>
                        <a:ln w="6350">
                          <a:noFill/>
                        </a:ln>
                      </wps:spPr>
                      <wps:txbx>
                        <w:txbxContent>
                          <w:p w14:paraId="3F5B35BE" w14:textId="77777777" w:rsidR="00900674" w:rsidRDefault="00900674" w:rsidP="003E147C">
                            <w:pPr>
                              <w:pStyle w:val="BodyText"/>
                              <w:spacing w:before="0" w:after="240"/>
                            </w:pPr>
                            <w:r>
                              <w:rPr>
                                <w:noProof/>
                              </w:rPr>
                              <w:drawing>
                                <wp:inline distT="0" distB="0" distL="0" distR="0" wp14:anchorId="391426D3" wp14:editId="55223E06">
                                  <wp:extent cx="996950" cy="147641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2020_silver_letterheadlogo_RGB_600dpi_02.png"/>
                                          <pic:cNvPicPr/>
                                        </pic:nvPicPr>
                                        <pic:blipFill>
                                          <a:blip r:embed="rId11"/>
                                          <a:stretch>
                                            <a:fillRect/>
                                          </a:stretch>
                                        </pic:blipFill>
                                        <pic:spPr>
                                          <a:xfrm>
                                            <a:off x="0" y="0"/>
                                            <a:ext cx="999667" cy="1480439"/>
                                          </a:xfrm>
                                          <a:prstGeom prst="rect">
                                            <a:avLst/>
                                          </a:prstGeom>
                                        </pic:spPr>
                                      </pic:pic>
                                    </a:graphicData>
                                  </a:graphic>
                                </wp:inline>
                              </w:drawing>
                            </w:r>
                          </w:p>
                          <w:p w14:paraId="29298A0C" w14:textId="77777777" w:rsidR="00900674" w:rsidRPr="000C2561" w:rsidRDefault="00900674" w:rsidP="003E147C">
                            <w:pPr>
                              <w:pStyle w:val="BodyText"/>
                              <w:spacing w:after="0"/>
                              <w:rPr>
                                <w:color w:val="004B8D" w:themeColor="accent1"/>
                                <w:sz w:val="18"/>
                                <w:szCs w:val="18"/>
                              </w:rPr>
                            </w:pPr>
                            <w:r w:rsidRPr="000C2561">
                              <w:rPr>
                                <w:b/>
                                <w:bCs/>
                                <w:color w:val="004B8D" w:themeColor="accent1"/>
                                <w:sz w:val="18"/>
                                <w:szCs w:val="18"/>
                              </w:rPr>
                              <w:t>Vision 2020</w:t>
                            </w:r>
                            <w:r w:rsidRPr="000C2561">
                              <w:rPr>
                                <w:color w:val="004B8D" w:themeColor="accent1"/>
                                <w:sz w:val="18"/>
                                <w:szCs w:val="18"/>
                              </w:rPr>
                              <w:t xml:space="preserve"> </w:t>
                            </w:r>
                            <w:r w:rsidRPr="000C2561">
                              <w:rPr>
                                <w:b/>
                                <w:bCs/>
                                <w:color w:val="004B8D" w:themeColor="accent1"/>
                                <w:sz w:val="18"/>
                                <w:szCs w:val="18"/>
                              </w:rPr>
                              <w:t>Australia</w:t>
                            </w:r>
                          </w:p>
                          <w:p w14:paraId="39A1C7E6" w14:textId="77777777" w:rsidR="00900674" w:rsidRPr="000C2561" w:rsidRDefault="00900674" w:rsidP="003E147C">
                            <w:pPr>
                              <w:pStyle w:val="BodyText"/>
                              <w:spacing w:before="0"/>
                              <w:rPr>
                                <w:color w:val="004B8D" w:themeColor="accent1"/>
                                <w:sz w:val="18"/>
                                <w:szCs w:val="18"/>
                              </w:rPr>
                            </w:pPr>
                            <w:r w:rsidRPr="000C2561">
                              <w:rPr>
                                <w:color w:val="004B8D" w:themeColor="accent1"/>
                                <w:sz w:val="18"/>
                                <w:szCs w:val="18"/>
                              </w:rPr>
                              <w:t>ABN 34 094 070 014</w:t>
                            </w:r>
                          </w:p>
                          <w:p w14:paraId="0E7E9EB8" w14:textId="77777777" w:rsidR="00900674" w:rsidRPr="000C2561" w:rsidRDefault="00900674" w:rsidP="003E147C">
                            <w:pPr>
                              <w:pStyle w:val="BodyText"/>
                              <w:spacing w:before="0" w:after="0"/>
                              <w:rPr>
                                <w:color w:val="004B8D" w:themeColor="accent1"/>
                                <w:sz w:val="18"/>
                                <w:szCs w:val="18"/>
                              </w:rPr>
                            </w:pPr>
                            <w:r w:rsidRPr="000C2561">
                              <w:rPr>
                                <w:color w:val="004B8D" w:themeColor="accent1"/>
                                <w:sz w:val="18"/>
                                <w:szCs w:val="18"/>
                              </w:rPr>
                              <w:t>Level 3</w:t>
                            </w:r>
                          </w:p>
                          <w:p w14:paraId="2A9BBC5B" w14:textId="77777777" w:rsidR="00900674" w:rsidRPr="000C2561" w:rsidRDefault="00900674" w:rsidP="003E147C">
                            <w:pPr>
                              <w:pStyle w:val="BodyText"/>
                              <w:spacing w:before="0" w:after="0"/>
                              <w:rPr>
                                <w:color w:val="004B8D" w:themeColor="accent1"/>
                                <w:sz w:val="18"/>
                                <w:szCs w:val="18"/>
                              </w:rPr>
                            </w:pPr>
                            <w:r w:rsidRPr="000C2561">
                              <w:rPr>
                                <w:color w:val="004B8D" w:themeColor="accent1"/>
                                <w:sz w:val="18"/>
                                <w:szCs w:val="18"/>
                              </w:rPr>
                              <w:t>33 Lincoln Square South</w:t>
                            </w:r>
                          </w:p>
                          <w:p w14:paraId="3395BBC9" w14:textId="77777777" w:rsidR="00900674" w:rsidRPr="000C2561" w:rsidRDefault="00900674" w:rsidP="003E147C">
                            <w:pPr>
                              <w:pStyle w:val="BodyText"/>
                              <w:spacing w:before="0"/>
                              <w:rPr>
                                <w:color w:val="004B8D" w:themeColor="accent1"/>
                                <w:sz w:val="18"/>
                                <w:szCs w:val="18"/>
                              </w:rPr>
                            </w:pPr>
                            <w:r w:rsidRPr="000C2561">
                              <w:rPr>
                                <w:color w:val="004B8D" w:themeColor="accent1"/>
                                <w:sz w:val="18"/>
                                <w:szCs w:val="18"/>
                              </w:rPr>
                              <w:t>Carlton Victoria 3053</w:t>
                            </w:r>
                          </w:p>
                          <w:p w14:paraId="1251E7DD" w14:textId="77777777" w:rsidR="00900674" w:rsidRPr="000C2561" w:rsidRDefault="00900674" w:rsidP="003E147C">
                            <w:pPr>
                              <w:pStyle w:val="BodyText"/>
                              <w:spacing w:after="0"/>
                              <w:rPr>
                                <w:color w:val="004B8D" w:themeColor="accent1"/>
                                <w:sz w:val="18"/>
                                <w:szCs w:val="18"/>
                              </w:rPr>
                            </w:pPr>
                            <w:r w:rsidRPr="000C2561">
                              <w:rPr>
                                <w:color w:val="004B8D" w:themeColor="accent1"/>
                                <w:sz w:val="18"/>
                                <w:szCs w:val="18"/>
                              </w:rPr>
                              <w:t>Phone +61 3 9656 2020</w:t>
                            </w:r>
                          </w:p>
                          <w:p w14:paraId="6B38B497" w14:textId="77777777" w:rsidR="00900674" w:rsidRPr="000C2561" w:rsidRDefault="00900674" w:rsidP="003E147C">
                            <w:pPr>
                              <w:pStyle w:val="BodyText"/>
                              <w:spacing w:before="0"/>
                              <w:rPr>
                                <w:color w:val="004B8D" w:themeColor="accent1"/>
                                <w:sz w:val="18"/>
                                <w:szCs w:val="18"/>
                              </w:rPr>
                            </w:pPr>
                            <w:r w:rsidRPr="000C2561">
                              <w:rPr>
                                <w:color w:val="004B8D" w:themeColor="accent1"/>
                                <w:sz w:val="18"/>
                                <w:szCs w:val="18"/>
                              </w:rPr>
                              <w:t>Fax + 61 3 9656 2040</w:t>
                            </w:r>
                          </w:p>
                          <w:p w14:paraId="7975049B" w14:textId="77777777" w:rsidR="00900674" w:rsidRPr="00C040ED" w:rsidRDefault="00E4175B" w:rsidP="003E147C">
                            <w:pPr>
                              <w:pStyle w:val="BodyText"/>
                              <w:spacing w:after="0"/>
                              <w:ind w:right="-256"/>
                              <w:rPr>
                                <w:color w:val="004B8D" w:themeColor="accent1"/>
                                <w:sz w:val="16"/>
                                <w:szCs w:val="16"/>
                              </w:rPr>
                            </w:pPr>
                            <w:hyperlink r:id="rId12" w:history="1">
                              <w:r w:rsidR="00900674" w:rsidRPr="00C040ED">
                                <w:rPr>
                                  <w:rStyle w:val="Hyperlink"/>
                                  <w:sz w:val="16"/>
                                  <w:szCs w:val="16"/>
                                  <w:u w:val="none"/>
                                </w:rPr>
                                <w:t>info@vision2020australia.org.au</w:t>
                              </w:r>
                            </w:hyperlink>
                          </w:p>
                          <w:p w14:paraId="193EA2FA" w14:textId="77777777" w:rsidR="00900674" w:rsidRPr="005A4175" w:rsidRDefault="00E4175B" w:rsidP="003E147C">
                            <w:pPr>
                              <w:rPr>
                                <w:color w:val="004B8D" w:themeColor="accent1"/>
                                <w:sz w:val="16"/>
                                <w:szCs w:val="16"/>
                              </w:rPr>
                            </w:pPr>
                            <w:hyperlink r:id="rId13" w:history="1">
                              <w:r w:rsidR="00900674" w:rsidRPr="005A4175">
                                <w:rPr>
                                  <w:rStyle w:val="Hyperlink"/>
                                  <w:sz w:val="16"/>
                                  <w:szCs w:val="16"/>
                                  <w:u w:val="none"/>
                                </w:rPr>
                                <w:t>www.vision2020australia.org.au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76F9997" id="_x0000_t202" coordsize="21600,21600" o:spt="202" path="m,l,21600r21600,l21600,xe">
                <v:stroke joinstyle="miter"/>
                <v:path gradientshapeok="t" o:connecttype="rect"/>
              </v:shapetype>
              <v:shape id="Text Box 2" o:spid="_x0000_s1026" type="#_x0000_t202" style="position:absolute;margin-left:67.85pt;margin-top:42.55pt;width:119.05pt;height:307.55pt;z-index:-251657216;visibility:visible;mso-wrap-style:square;mso-width-percent:0;mso-height-percent:0;mso-wrap-distance-left:14.2pt;mso-wrap-distance-top:14.2pt;mso-wrap-distance-right:14.2pt;mso-wrap-distance-bottom:14.2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" fillcolor="white [3201]" stroked="f" strokeweight=".5pt">
                <v:textbox style="mso-fit-shape-to-text:t" inset="0,0,0,0">
                  <w:txbxContent>
                    <w:p w14:paraId="3F5B35BE" w14:textId="77777777" w:rsidR="00900674" w:rsidRDefault="00900674" w:rsidP="003E147C">
                      <w:pPr>
                        <w:pStyle w:val="BodyText"/>
                        <w:spacing w:before="0" w:after="240"/>
                      </w:pPr>
                      <w:r>
                        <w:rPr>
                          <w:noProof/>
                        </w:rPr>
                        <w:drawing>
                          <wp:inline distT="0" distB="0" distL="0" distR="0" wp14:anchorId="391426D3" wp14:editId="55223E06">
                            <wp:extent cx="996950" cy="147641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2020_silver_letterheadlogo_RGB_600dpi_02.png"/>
                                    <pic:cNvPicPr/>
                                  </pic:nvPicPr>
                                  <pic:blipFill>
                                    <a:blip r:embed="rId11"/>
                                    <a:stretch>
                                      <a:fillRect/>
                                    </a:stretch>
                                  </pic:blipFill>
                                  <pic:spPr>
                                    <a:xfrm>
                                      <a:off x="0" y="0"/>
                                      <a:ext cx="999667" cy="1480439"/>
                                    </a:xfrm>
                                    <a:prstGeom prst="rect">
                                      <a:avLst/>
                                    </a:prstGeom>
                                  </pic:spPr>
                                </pic:pic>
                              </a:graphicData>
                            </a:graphic>
                          </wp:inline>
                        </w:drawing>
                      </w:r>
                    </w:p>
                    <w:p w14:paraId="29298A0C" w14:textId="77777777" w:rsidR="00900674" w:rsidRPr="000C2561" w:rsidRDefault="00900674" w:rsidP="003E147C">
                      <w:pPr>
                        <w:pStyle w:val="BodyText"/>
                        <w:spacing w:after="0"/>
                        <w:rPr>
                          <w:color w:val="004B8D" w:themeColor="accent1"/>
                          <w:sz w:val="18"/>
                          <w:szCs w:val="18"/>
                        </w:rPr>
                      </w:pPr>
                      <w:r w:rsidRPr="000C2561">
                        <w:rPr>
                          <w:b/>
                          <w:bCs/>
                          <w:color w:val="004B8D" w:themeColor="accent1"/>
                          <w:sz w:val="18"/>
                          <w:szCs w:val="18"/>
                        </w:rPr>
                        <w:t>Vision 2020</w:t>
                      </w:r>
                      <w:r w:rsidRPr="000C2561">
                        <w:rPr>
                          <w:color w:val="004B8D" w:themeColor="accent1"/>
                          <w:sz w:val="18"/>
                          <w:szCs w:val="18"/>
                        </w:rPr>
                        <w:t xml:space="preserve"> </w:t>
                      </w:r>
                      <w:r w:rsidRPr="000C2561">
                        <w:rPr>
                          <w:b/>
                          <w:bCs/>
                          <w:color w:val="004B8D" w:themeColor="accent1"/>
                          <w:sz w:val="18"/>
                          <w:szCs w:val="18"/>
                        </w:rPr>
                        <w:t>Australia</w:t>
                      </w:r>
                    </w:p>
                    <w:p w14:paraId="39A1C7E6" w14:textId="77777777" w:rsidR="00900674" w:rsidRPr="000C2561" w:rsidRDefault="00900674" w:rsidP="003E147C">
                      <w:pPr>
                        <w:pStyle w:val="BodyText"/>
                        <w:spacing w:before="0"/>
                        <w:rPr>
                          <w:color w:val="004B8D" w:themeColor="accent1"/>
                          <w:sz w:val="18"/>
                          <w:szCs w:val="18"/>
                        </w:rPr>
                      </w:pPr>
                      <w:r w:rsidRPr="000C2561">
                        <w:rPr>
                          <w:color w:val="004B8D" w:themeColor="accent1"/>
                          <w:sz w:val="18"/>
                          <w:szCs w:val="18"/>
                        </w:rPr>
                        <w:t>ABN 34 094 070 014</w:t>
                      </w:r>
                    </w:p>
                    <w:p w14:paraId="0E7E9EB8" w14:textId="77777777" w:rsidR="00900674" w:rsidRPr="000C2561" w:rsidRDefault="00900674" w:rsidP="003E147C">
                      <w:pPr>
                        <w:pStyle w:val="BodyText"/>
                        <w:spacing w:before="0" w:after="0"/>
                        <w:rPr>
                          <w:color w:val="004B8D" w:themeColor="accent1"/>
                          <w:sz w:val="18"/>
                          <w:szCs w:val="18"/>
                        </w:rPr>
                      </w:pPr>
                      <w:r w:rsidRPr="000C2561">
                        <w:rPr>
                          <w:color w:val="004B8D" w:themeColor="accent1"/>
                          <w:sz w:val="18"/>
                          <w:szCs w:val="18"/>
                        </w:rPr>
                        <w:t>Level 3</w:t>
                      </w:r>
                    </w:p>
                    <w:p w14:paraId="2A9BBC5B" w14:textId="77777777" w:rsidR="00900674" w:rsidRPr="000C2561" w:rsidRDefault="00900674" w:rsidP="003E147C">
                      <w:pPr>
                        <w:pStyle w:val="BodyText"/>
                        <w:spacing w:before="0" w:after="0"/>
                        <w:rPr>
                          <w:color w:val="004B8D" w:themeColor="accent1"/>
                          <w:sz w:val="18"/>
                          <w:szCs w:val="18"/>
                        </w:rPr>
                      </w:pPr>
                      <w:r w:rsidRPr="000C2561">
                        <w:rPr>
                          <w:color w:val="004B8D" w:themeColor="accent1"/>
                          <w:sz w:val="18"/>
                          <w:szCs w:val="18"/>
                        </w:rPr>
                        <w:t>33 Lincoln Square South</w:t>
                      </w:r>
                    </w:p>
                    <w:p w14:paraId="3395BBC9" w14:textId="77777777" w:rsidR="00900674" w:rsidRPr="000C2561" w:rsidRDefault="00900674" w:rsidP="003E147C">
                      <w:pPr>
                        <w:pStyle w:val="BodyText"/>
                        <w:spacing w:before="0"/>
                        <w:rPr>
                          <w:color w:val="004B8D" w:themeColor="accent1"/>
                          <w:sz w:val="18"/>
                          <w:szCs w:val="18"/>
                        </w:rPr>
                      </w:pPr>
                      <w:r w:rsidRPr="000C2561">
                        <w:rPr>
                          <w:color w:val="004B8D" w:themeColor="accent1"/>
                          <w:sz w:val="18"/>
                          <w:szCs w:val="18"/>
                        </w:rPr>
                        <w:t>Carlton Victoria 3053</w:t>
                      </w:r>
                    </w:p>
                    <w:p w14:paraId="1251E7DD" w14:textId="77777777" w:rsidR="00900674" w:rsidRPr="000C2561" w:rsidRDefault="00900674" w:rsidP="003E147C">
                      <w:pPr>
                        <w:pStyle w:val="BodyText"/>
                        <w:spacing w:after="0"/>
                        <w:rPr>
                          <w:color w:val="004B8D" w:themeColor="accent1"/>
                          <w:sz w:val="18"/>
                          <w:szCs w:val="18"/>
                        </w:rPr>
                      </w:pPr>
                      <w:r w:rsidRPr="000C2561">
                        <w:rPr>
                          <w:color w:val="004B8D" w:themeColor="accent1"/>
                          <w:sz w:val="18"/>
                          <w:szCs w:val="18"/>
                        </w:rPr>
                        <w:t>Phone +61 3 9656 2020</w:t>
                      </w:r>
                    </w:p>
                    <w:p w14:paraId="6B38B497" w14:textId="77777777" w:rsidR="00900674" w:rsidRPr="000C2561" w:rsidRDefault="00900674" w:rsidP="003E147C">
                      <w:pPr>
                        <w:pStyle w:val="BodyText"/>
                        <w:spacing w:before="0"/>
                        <w:rPr>
                          <w:color w:val="004B8D" w:themeColor="accent1"/>
                          <w:sz w:val="18"/>
                          <w:szCs w:val="18"/>
                        </w:rPr>
                      </w:pPr>
                      <w:r w:rsidRPr="000C2561">
                        <w:rPr>
                          <w:color w:val="004B8D" w:themeColor="accent1"/>
                          <w:sz w:val="18"/>
                          <w:szCs w:val="18"/>
                        </w:rPr>
                        <w:t>Fax + 61 3 9656 2040</w:t>
                      </w:r>
                    </w:p>
                    <w:p w14:paraId="7975049B" w14:textId="77777777" w:rsidR="00900674" w:rsidRPr="00C040ED" w:rsidRDefault="00E4175B" w:rsidP="003E147C">
                      <w:pPr>
                        <w:pStyle w:val="BodyText"/>
                        <w:spacing w:after="0"/>
                        <w:ind w:right="-256"/>
                        <w:rPr>
                          <w:color w:val="004B8D" w:themeColor="accent1"/>
                          <w:sz w:val="16"/>
                          <w:szCs w:val="16"/>
                        </w:rPr>
                      </w:pPr>
                      <w:hyperlink r:id="rId14" w:history="1">
                        <w:r w:rsidR="00900674" w:rsidRPr="00C040ED">
                          <w:rPr>
                            <w:rStyle w:val="Hyperlink"/>
                            <w:sz w:val="16"/>
                            <w:szCs w:val="16"/>
                            <w:u w:val="none"/>
                          </w:rPr>
                          <w:t>info@vision2020australia.org.au</w:t>
                        </w:r>
                      </w:hyperlink>
                    </w:p>
                    <w:p w14:paraId="193EA2FA" w14:textId="77777777" w:rsidR="00900674" w:rsidRPr="005A4175" w:rsidRDefault="00E4175B" w:rsidP="003E147C">
                      <w:pPr>
                        <w:rPr>
                          <w:color w:val="004B8D" w:themeColor="accent1"/>
                          <w:sz w:val="16"/>
                          <w:szCs w:val="16"/>
                        </w:rPr>
                      </w:pPr>
                      <w:hyperlink r:id="rId15" w:history="1">
                        <w:r w:rsidR="00900674" w:rsidRPr="005A4175">
                          <w:rPr>
                            <w:rStyle w:val="Hyperlink"/>
                            <w:sz w:val="16"/>
                            <w:szCs w:val="16"/>
                            <w:u w:val="none"/>
                          </w:rPr>
                          <w:t>www.vision2020australia.org.au</w:t>
                        </w:r>
                      </w:hyperlink>
                    </w:p>
                  </w:txbxContent>
                </v:textbox>
                <w10:wrap type="tight" anchorx="margin" anchory="page"/>
                <w10:anchorlock/>
              </v:shape>
            </w:pict>
          </mc:Fallback>
        </mc:AlternateContent>
      </w:r>
    </w:p>
    <w:p w14:paraId="1CD8E16D" w14:textId="67AA3586" w:rsidR="00976DA8" w:rsidRPr="00EF21F3" w:rsidRDefault="00900D43" w:rsidP="00976DA8">
      <w:pPr>
        <w:pStyle w:val="BodyText"/>
        <w:spacing w:before="0" w:after="0" w:line="240" w:lineRule="auto"/>
        <w:rPr>
          <w:rFonts w:cstheme="minorHAnsi"/>
          <w:szCs w:val="22"/>
        </w:rPr>
      </w:pPr>
      <w:r w:rsidRPr="00EF21F3">
        <w:rPr>
          <w:rFonts w:cstheme="minorHAnsi"/>
          <w:szCs w:val="22"/>
        </w:rPr>
        <w:t>Lyne</w:t>
      </w:r>
      <w:r w:rsidR="00697BAD">
        <w:rPr>
          <w:rFonts w:cstheme="minorHAnsi"/>
          <w:szCs w:val="22"/>
        </w:rPr>
        <w:t>lle</w:t>
      </w:r>
      <w:r w:rsidRPr="00EF21F3">
        <w:rPr>
          <w:rFonts w:cstheme="minorHAnsi"/>
          <w:szCs w:val="22"/>
        </w:rPr>
        <w:t xml:space="preserve"> Cogan</w:t>
      </w:r>
    </w:p>
    <w:p w14:paraId="474CDECD" w14:textId="77777777" w:rsidR="00900D43" w:rsidRPr="00EF21F3" w:rsidRDefault="00900D43" w:rsidP="00976DA8">
      <w:pPr>
        <w:pStyle w:val="BodyText"/>
        <w:spacing w:before="0" w:after="0" w:line="240" w:lineRule="auto"/>
        <w:rPr>
          <w:rFonts w:cstheme="minorHAnsi"/>
          <w:szCs w:val="22"/>
        </w:rPr>
      </w:pPr>
      <w:r w:rsidRPr="00EF21F3">
        <w:rPr>
          <w:rFonts w:cstheme="minorHAnsi"/>
          <w:szCs w:val="22"/>
        </w:rPr>
        <w:t>Project Officer, Government Relations Policy and Practice</w:t>
      </w:r>
    </w:p>
    <w:p w14:paraId="6B0C2DE5" w14:textId="77777777" w:rsidR="00900D43" w:rsidRPr="00EF21F3" w:rsidRDefault="00900D43" w:rsidP="00900D43">
      <w:pPr>
        <w:pStyle w:val="BodyText"/>
        <w:spacing w:before="0" w:after="0" w:line="240" w:lineRule="auto"/>
        <w:rPr>
          <w:rFonts w:cstheme="minorHAnsi"/>
          <w:szCs w:val="22"/>
        </w:rPr>
      </w:pPr>
      <w:r w:rsidRPr="00EF21F3">
        <w:rPr>
          <w:rFonts w:cstheme="minorHAnsi"/>
          <w:bCs/>
          <w:szCs w:val="22"/>
        </w:rPr>
        <w:t>The Royal Australian College of General Practitioners Ltd</w:t>
      </w:r>
      <w:r w:rsidRPr="00EF21F3">
        <w:rPr>
          <w:rFonts w:cstheme="minorHAnsi"/>
          <w:szCs w:val="22"/>
        </w:rPr>
        <w:br/>
        <w:t xml:space="preserve">100 Wellington Parade </w:t>
      </w:r>
    </w:p>
    <w:p w14:paraId="4D4998B6" w14:textId="77777777" w:rsidR="00900D43" w:rsidRPr="00EF21F3" w:rsidRDefault="00900D43" w:rsidP="00900D43">
      <w:pPr>
        <w:rPr>
          <w:rFonts w:eastAsia="Times New Roman" w:cstheme="minorHAnsi"/>
          <w:lang w:eastAsia="en-AU"/>
        </w:rPr>
      </w:pPr>
      <w:r w:rsidRPr="00EF21F3">
        <w:rPr>
          <w:rFonts w:eastAsia="Times New Roman" w:cstheme="minorHAnsi"/>
          <w:lang w:eastAsia="en-AU"/>
        </w:rPr>
        <w:t>East Melbourne VIC 3002</w:t>
      </w:r>
    </w:p>
    <w:p w14:paraId="1B7454F6" w14:textId="77777777" w:rsidR="00900D43" w:rsidRPr="00EF21F3" w:rsidRDefault="00900D43" w:rsidP="00900D43">
      <w:pPr>
        <w:rPr>
          <w:rFonts w:cstheme="minorHAnsi"/>
        </w:rPr>
      </w:pPr>
    </w:p>
    <w:p w14:paraId="58EC28D9" w14:textId="77777777" w:rsidR="00F75231" w:rsidRPr="00EF21F3" w:rsidRDefault="00F75231" w:rsidP="00900D43">
      <w:pPr>
        <w:rPr>
          <w:rFonts w:cstheme="minorHAnsi"/>
        </w:rPr>
      </w:pPr>
      <w:r w:rsidRPr="00EF21F3">
        <w:rPr>
          <w:rFonts w:cstheme="minorHAnsi"/>
        </w:rPr>
        <w:t xml:space="preserve">via email: </w:t>
      </w:r>
      <w:hyperlink r:id="rId16" w:tgtFrame="_blank" w:tooltip="mailto:qualitycare@racgp.org.au" w:history="1">
        <w:r w:rsidR="00900D43" w:rsidRPr="00EF21F3">
          <w:rPr>
            <w:rStyle w:val="Hyperlink"/>
            <w:rFonts w:cstheme="minorHAnsi"/>
          </w:rPr>
          <w:t>qualitycare@racgp.org.au</w:t>
        </w:r>
      </w:hyperlink>
    </w:p>
    <w:p w14:paraId="76E7F19C" w14:textId="77777777" w:rsidR="00976DA8" w:rsidRDefault="00976DA8" w:rsidP="003E147C">
      <w:pPr>
        <w:pStyle w:val="BodyText"/>
        <w:spacing w:before="240" w:after="240"/>
      </w:pPr>
      <w:bookmarkStart w:id="0" w:name="_GoBack"/>
      <w:bookmarkEnd w:id="0"/>
    </w:p>
    <w:p w14:paraId="3B2CD346" w14:textId="77777777" w:rsidR="00E756DF" w:rsidRDefault="00E756DF" w:rsidP="00976DA8">
      <w:pPr>
        <w:pStyle w:val="BodyText"/>
      </w:pPr>
    </w:p>
    <w:p w14:paraId="41B209F5" w14:textId="77777777" w:rsidR="00CC6EBF" w:rsidRPr="00821D28" w:rsidRDefault="00976DA8" w:rsidP="00976DA8">
      <w:pPr>
        <w:pStyle w:val="BodyText"/>
        <w:rPr>
          <w:sz w:val="21"/>
          <w:szCs w:val="21"/>
        </w:rPr>
      </w:pPr>
      <w:r w:rsidRPr="00821D28">
        <w:rPr>
          <w:sz w:val="21"/>
          <w:szCs w:val="21"/>
        </w:rPr>
        <w:t xml:space="preserve">Dear </w:t>
      </w:r>
      <w:r w:rsidR="00EF21F3" w:rsidRPr="00821D28">
        <w:rPr>
          <w:sz w:val="21"/>
          <w:szCs w:val="21"/>
        </w:rPr>
        <w:t>Ms Cogan</w:t>
      </w:r>
    </w:p>
    <w:p w14:paraId="6634DA90" w14:textId="77777777" w:rsidR="00CC6EBF" w:rsidRPr="00821D28" w:rsidRDefault="000C2561" w:rsidP="00E756DF">
      <w:pPr>
        <w:pStyle w:val="BodyText"/>
        <w:spacing w:before="240"/>
        <w:rPr>
          <w:sz w:val="21"/>
          <w:szCs w:val="21"/>
        </w:rPr>
      </w:pPr>
      <w:r w:rsidRPr="00821D28">
        <w:rPr>
          <w:sz w:val="21"/>
          <w:szCs w:val="21"/>
        </w:rPr>
        <w:t xml:space="preserve">Vision 2020 Australia thanks you for the opportunity to make a submission to the review of the current version of the </w:t>
      </w:r>
      <w:r w:rsidR="00183624" w:rsidRPr="00821D28">
        <w:rPr>
          <w:i/>
          <w:sz w:val="21"/>
          <w:szCs w:val="21"/>
        </w:rPr>
        <w:t>Guidelines</w:t>
      </w:r>
      <w:r w:rsidR="00183624" w:rsidRPr="00821D28">
        <w:rPr>
          <w:sz w:val="21"/>
          <w:szCs w:val="21"/>
        </w:rPr>
        <w:t xml:space="preserve"> </w:t>
      </w:r>
      <w:r w:rsidR="00183624" w:rsidRPr="00821D28">
        <w:rPr>
          <w:i/>
          <w:sz w:val="21"/>
          <w:szCs w:val="21"/>
        </w:rPr>
        <w:t>for preventive activities in general practice</w:t>
      </w:r>
      <w:r w:rsidR="003E059C" w:rsidRPr="00821D28">
        <w:rPr>
          <w:i/>
          <w:sz w:val="21"/>
          <w:szCs w:val="21"/>
        </w:rPr>
        <w:t>,</w:t>
      </w:r>
      <w:r w:rsidR="00183624" w:rsidRPr="00821D28">
        <w:rPr>
          <w:i/>
          <w:sz w:val="21"/>
          <w:szCs w:val="21"/>
        </w:rPr>
        <w:t xml:space="preserve"> </w:t>
      </w:r>
      <w:r w:rsidR="003E059C" w:rsidRPr="00821D28">
        <w:rPr>
          <w:i/>
          <w:sz w:val="21"/>
          <w:szCs w:val="21"/>
        </w:rPr>
        <w:t>9</w:t>
      </w:r>
      <w:r w:rsidR="003E059C" w:rsidRPr="00821D28">
        <w:rPr>
          <w:i/>
          <w:sz w:val="21"/>
          <w:szCs w:val="21"/>
          <w:vertAlign w:val="superscript"/>
        </w:rPr>
        <w:t>th</w:t>
      </w:r>
      <w:r w:rsidR="003E059C" w:rsidRPr="00821D28">
        <w:rPr>
          <w:i/>
          <w:sz w:val="21"/>
          <w:szCs w:val="21"/>
        </w:rPr>
        <w:t xml:space="preserve"> Edition 2016</w:t>
      </w:r>
      <w:r w:rsidRPr="00821D28">
        <w:rPr>
          <w:sz w:val="21"/>
          <w:szCs w:val="21"/>
        </w:rPr>
        <w:t xml:space="preserve"> (the </w:t>
      </w:r>
      <w:r w:rsidR="003E059C" w:rsidRPr="00821D28">
        <w:rPr>
          <w:sz w:val="21"/>
          <w:szCs w:val="21"/>
        </w:rPr>
        <w:t>‘</w:t>
      </w:r>
      <w:r w:rsidRPr="00821D28">
        <w:rPr>
          <w:sz w:val="21"/>
          <w:szCs w:val="21"/>
        </w:rPr>
        <w:t xml:space="preserve">Red Book’). </w:t>
      </w:r>
    </w:p>
    <w:p w14:paraId="14B1A8FF" w14:textId="77777777" w:rsidR="000C2561" w:rsidRPr="00821D28" w:rsidRDefault="000C2561" w:rsidP="00584196">
      <w:pPr>
        <w:pStyle w:val="BodyText"/>
        <w:rPr>
          <w:sz w:val="21"/>
          <w:szCs w:val="21"/>
        </w:rPr>
      </w:pPr>
      <w:r w:rsidRPr="00821D28">
        <w:rPr>
          <w:sz w:val="21"/>
          <w:szCs w:val="21"/>
        </w:rPr>
        <w:t>Our organisation works with many partners to prevent avoidable blindness, and we are keen to embed vision into chronic health checks</w:t>
      </w:r>
      <w:r w:rsidR="003E059C" w:rsidRPr="00821D28">
        <w:rPr>
          <w:sz w:val="21"/>
          <w:szCs w:val="21"/>
        </w:rPr>
        <w:t>,</w:t>
      </w:r>
      <w:r w:rsidRPr="00821D28">
        <w:rPr>
          <w:sz w:val="21"/>
          <w:szCs w:val="21"/>
        </w:rPr>
        <w:t xml:space="preserve"> as we believe this would prevent more Australians unnecessarily losing their sight. </w:t>
      </w:r>
    </w:p>
    <w:p w14:paraId="7EACFA93" w14:textId="19AEAC45" w:rsidR="000C2561" w:rsidRPr="00821D28" w:rsidRDefault="000C2561" w:rsidP="00584196">
      <w:pPr>
        <w:pStyle w:val="BodyText"/>
        <w:rPr>
          <w:sz w:val="21"/>
          <w:szCs w:val="21"/>
        </w:rPr>
      </w:pPr>
      <w:r w:rsidRPr="00821D28">
        <w:rPr>
          <w:sz w:val="21"/>
          <w:szCs w:val="21"/>
        </w:rPr>
        <w:t>There are currently over 450,000 Australians living with blindness and low vision and on our estimates, this could almost double by 2030</w:t>
      </w:r>
      <w:r w:rsidR="006831BF">
        <w:rPr>
          <w:sz w:val="21"/>
          <w:szCs w:val="21"/>
        </w:rPr>
        <w:t>,</w:t>
      </w:r>
      <w:r w:rsidRPr="00821D28">
        <w:rPr>
          <w:sz w:val="21"/>
          <w:szCs w:val="21"/>
        </w:rPr>
        <w:t xml:space="preserve"> so we are keen to progress this as one of a number of strategies to prevent that occurring. Fortunately</w:t>
      </w:r>
      <w:r w:rsidR="003E059C" w:rsidRPr="00821D28">
        <w:rPr>
          <w:sz w:val="21"/>
          <w:szCs w:val="21"/>
        </w:rPr>
        <w:t xml:space="preserve">, </w:t>
      </w:r>
      <w:r w:rsidRPr="00821D28">
        <w:rPr>
          <w:sz w:val="21"/>
          <w:szCs w:val="21"/>
        </w:rPr>
        <w:t xml:space="preserve">90 per cent of vision loss can be prevented through early identification and treatment of the underlying condition, and ensuring at risk populations have regular eye tests is the key to prevention. </w:t>
      </w:r>
    </w:p>
    <w:p w14:paraId="4D15E598" w14:textId="77777777" w:rsidR="00814A62" w:rsidRPr="00821D28" w:rsidRDefault="000C2561" w:rsidP="00584196">
      <w:pPr>
        <w:pStyle w:val="BodyText"/>
        <w:rPr>
          <w:sz w:val="21"/>
          <w:szCs w:val="21"/>
        </w:rPr>
      </w:pPr>
      <w:r w:rsidRPr="00821D28">
        <w:rPr>
          <w:sz w:val="21"/>
          <w:szCs w:val="21"/>
        </w:rPr>
        <w:t>People aged over 40, people living with diabetes, people who smoke, people with a family history of eye disease and Aboriginal and Torres Strait Islander Peoples are at higher risk of vision loss. We are pleased that vision has been embedded in the</w:t>
      </w:r>
      <w:r w:rsidR="00B459C8" w:rsidRPr="00821D28">
        <w:rPr>
          <w:sz w:val="21"/>
          <w:szCs w:val="21"/>
        </w:rPr>
        <w:t xml:space="preserve"> NACCHO/</w:t>
      </w:r>
      <w:r w:rsidRPr="00821D28">
        <w:rPr>
          <w:sz w:val="21"/>
          <w:szCs w:val="21"/>
        </w:rPr>
        <w:t>RACGP</w:t>
      </w:r>
      <w:r w:rsidR="003E059C" w:rsidRPr="00821D28">
        <w:rPr>
          <w:sz w:val="21"/>
          <w:szCs w:val="21"/>
        </w:rPr>
        <w:t xml:space="preserve"> </w:t>
      </w:r>
      <w:r w:rsidR="003E059C" w:rsidRPr="00821D28">
        <w:rPr>
          <w:i/>
          <w:sz w:val="21"/>
          <w:szCs w:val="21"/>
        </w:rPr>
        <w:t xml:space="preserve">National </w:t>
      </w:r>
      <w:r w:rsidR="007913AD" w:rsidRPr="00821D28">
        <w:rPr>
          <w:i/>
          <w:sz w:val="21"/>
          <w:szCs w:val="21"/>
        </w:rPr>
        <w:t>g</w:t>
      </w:r>
      <w:r w:rsidR="003E059C" w:rsidRPr="00821D28">
        <w:rPr>
          <w:i/>
          <w:sz w:val="21"/>
          <w:szCs w:val="21"/>
        </w:rPr>
        <w:t>uide to a preventive health assessment for Aboriginal and Torres Strait Islander people,</w:t>
      </w:r>
      <w:r w:rsidR="007913AD" w:rsidRPr="00821D28">
        <w:rPr>
          <w:i/>
          <w:sz w:val="21"/>
          <w:szCs w:val="21"/>
        </w:rPr>
        <w:t xml:space="preserve"> </w:t>
      </w:r>
      <w:r w:rsidR="003E059C" w:rsidRPr="00821D28">
        <w:rPr>
          <w:i/>
          <w:sz w:val="21"/>
          <w:szCs w:val="21"/>
        </w:rPr>
        <w:t>Third Edition 2018</w:t>
      </w:r>
      <w:r w:rsidR="003E059C" w:rsidRPr="00821D28">
        <w:rPr>
          <w:sz w:val="21"/>
          <w:szCs w:val="21"/>
        </w:rPr>
        <w:t xml:space="preserve"> </w:t>
      </w:r>
      <w:r w:rsidRPr="00821D28">
        <w:rPr>
          <w:sz w:val="21"/>
          <w:szCs w:val="21"/>
        </w:rPr>
        <w:t>and is an essential part of MBS item</w:t>
      </w:r>
      <w:r w:rsidR="003E059C" w:rsidRPr="00821D28">
        <w:rPr>
          <w:sz w:val="21"/>
          <w:szCs w:val="21"/>
        </w:rPr>
        <w:t xml:space="preserve"> 715</w:t>
      </w:r>
      <w:r w:rsidRPr="00821D28">
        <w:rPr>
          <w:sz w:val="21"/>
          <w:szCs w:val="21"/>
        </w:rPr>
        <w:t xml:space="preserve">. </w:t>
      </w:r>
    </w:p>
    <w:p w14:paraId="5C15CC5D" w14:textId="77777777" w:rsidR="00814A62" w:rsidRPr="00821D28" w:rsidRDefault="000C2561" w:rsidP="00E756DF">
      <w:pPr>
        <w:pStyle w:val="BodyText"/>
        <w:rPr>
          <w:sz w:val="21"/>
          <w:szCs w:val="21"/>
        </w:rPr>
      </w:pPr>
      <w:r w:rsidRPr="00821D28">
        <w:rPr>
          <w:sz w:val="21"/>
          <w:szCs w:val="21"/>
        </w:rPr>
        <w:t>We are now seeking to extend those arrangements to other Australians</w:t>
      </w:r>
      <w:r w:rsidR="00814A62" w:rsidRPr="00821D28">
        <w:rPr>
          <w:sz w:val="21"/>
          <w:szCs w:val="21"/>
        </w:rPr>
        <w:t xml:space="preserve"> to help reduce the prevalence of avoidable vision loss. To do this, Vision 2020 Australia requests that the RACGP</w:t>
      </w:r>
      <w:r w:rsidR="00E756DF" w:rsidRPr="00821D28">
        <w:rPr>
          <w:sz w:val="21"/>
          <w:szCs w:val="21"/>
        </w:rPr>
        <w:t xml:space="preserve"> </w:t>
      </w:r>
      <w:r w:rsidR="00814A62" w:rsidRPr="00821D28">
        <w:rPr>
          <w:sz w:val="21"/>
          <w:szCs w:val="21"/>
        </w:rPr>
        <w:t xml:space="preserve">expand the current content in the Red Book to include more comprehensive </w:t>
      </w:r>
      <w:r w:rsidR="00E756DF" w:rsidRPr="00821D28">
        <w:rPr>
          <w:sz w:val="21"/>
          <w:szCs w:val="21"/>
        </w:rPr>
        <w:t>eye health and vision information</w:t>
      </w:r>
      <w:r w:rsidR="00814A62" w:rsidRPr="00821D28">
        <w:rPr>
          <w:sz w:val="21"/>
          <w:szCs w:val="21"/>
        </w:rPr>
        <w:t xml:space="preserve">, and encourage its members to make vision testing a mandatory component of all chronic health checks. </w:t>
      </w:r>
    </w:p>
    <w:p w14:paraId="4B4DE4F3" w14:textId="77777777" w:rsidR="00E756DF" w:rsidRPr="00821D28" w:rsidRDefault="00814A62" w:rsidP="00814A62">
      <w:pPr>
        <w:pStyle w:val="BodyText"/>
        <w:rPr>
          <w:sz w:val="21"/>
          <w:szCs w:val="21"/>
        </w:rPr>
      </w:pPr>
      <w:r w:rsidRPr="00821D28">
        <w:rPr>
          <w:sz w:val="21"/>
          <w:szCs w:val="21"/>
        </w:rPr>
        <w:t>Vision 2020 Australia has worked with a range of its member organisations to develop the attached advice</w:t>
      </w:r>
      <w:r w:rsidR="00E756DF" w:rsidRPr="00821D28">
        <w:rPr>
          <w:sz w:val="21"/>
          <w:szCs w:val="21"/>
        </w:rPr>
        <w:t xml:space="preserve"> regarding recommended changes to the Red Book and the underpinning evidence base</w:t>
      </w:r>
      <w:r w:rsidRPr="00821D28">
        <w:rPr>
          <w:sz w:val="21"/>
          <w:szCs w:val="21"/>
        </w:rPr>
        <w:t xml:space="preserve">.  </w:t>
      </w:r>
    </w:p>
    <w:p w14:paraId="0A6B3E7D" w14:textId="77777777" w:rsidR="00814A62" w:rsidRDefault="00814A62" w:rsidP="00814A62">
      <w:pPr>
        <w:pStyle w:val="Heading3"/>
      </w:pPr>
      <w:r>
        <w:t>Amendments to current content</w:t>
      </w:r>
    </w:p>
    <w:p w14:paraId="4F48E5E6" w14:textId="77777777" w:rsidR="00C74D9B" w:rsidRPr="00821D28" w:rsidRDefault="00B459C8" w:rsidP="00B459C8">
      <w:pPr>
        <w:pStyle w:val="BodyText"/>
        <w:rPr>
          <w:sz w:val="21"/>
          <w:szCs w:val="21"/>
        </w:rPr>
      </w:pPr>
      <w:r w:rsidRPr="00821D28">
        <w:rPr>
          <w:sz w:val="21"/>
          <w:szCs w:val="21"/>
        </w:rPr>
        <w:t xml:space="preserve">In inviting submissions to the review of the Red Book, the RACGP has </w:t>
      </w:r>
      <w:r w:rsidR="00C74D9B" w:rsidRPr="00821D28">
        <w:rPr>
          <w:sz w:val="21"/>
          <w:szCs w:val="21"/>
        </w:rPr>
        <w:t>requested advice regarding the changes requested to the current version of the Red Boo</w:t>
      </w:r>
      <w:r w:rsidRPr="00821D28">
        <w:rPr>
          <w:sz w:val="21"/>
          <w:szCs w:val="21"/>
        </w:rPr>
        <w:t>k. This currently includes</w:t>
      </w:r>
      <w:r w:rsidR="00C74D9B" w:rsidRPr="00821D28">
        <w:rPr>
          <w:sz w:val="21"/>
          <w:szCs w:val="21"/>
        </w:rPr>
        <w:t xml:space="preserve"> content related to vision in the following </w:t>
      </w:r>
      <w:r w:rsidRPr="00821D28">
        <w:rPr>
          <w:sz w:val="21"/>
          <w:szCs w:val="21"/>
        </w:rPr>
        <w:t>chapters:</w:t>
      </w:r>
    </w:p>
    <w:p w14:paraId="3AA89401" w14:textId="77777777" w:rsidR="00B459C8" w:rsidRPr="00821D28" w:rsidRDefault="00B459C8" w:rsidP="00B459C8">
      <w:pPr>
        <w:pStyle w:val="BodyText"/>
        <w:numPr>
          <w:ilvl w:val="0"/>
          <w:numId w:val="18"/>
        </w:numPr>
        <w:rPr>
          <w:sz w:val="21"/>
          <w:szCs w:val="21"/>
        </w:rPr>
      </w:pPr>
      <w:r w:rsidRPr="00821D28">
        <w:rPr>
          <w:sz w:val="21"/>
          <w:szCs w:val="21"/>
        </w:rPr>
        <w:t xml:space="preserve">Chapter 3 - Preventive activities in children and young people </w:t>
      </w:r>
    </w:p>
    <w:p w14:paraId="7042AFF8" w14:textId="77777777" w:rsidR="00E1180C" w:rsidRPr="00821D28" w:rsidRDefault="00B459C8" w:rsidP="00C95BA3">
      <w:pPr>
        <w:pStyle w:val="BodyText"/>
        <w:numPr>
          <w:ilvl w:val="0"/>
          <w:numId w:val="18"/>
        </w:numPr>
        <w:rPr>
          <w:sz w:val="21"/>
          <w:szCs w:val="21"/>
        </w:rPr>
      </w:pPr>
      <w:r w:rsidRPr="00821D28">
        <w:rPr>
          <w:sz w:val="21"/>
          <w:szCs w:val="21"/>
        </w:rPr>
        <w:t xml:space="preserve">Chapter 5 - </w:t>
      </w:r>
      <w:r w:rsidR="00E1180C" w:rsidRPr="00821D28">
        <w:rPr>
          <w:sz w:val="21"/>
          <w:szCs w:val="21"/>
        </w:rPr>
        <w:t xml:space="preserve">Vision and hearing impairment in older age </w:t>
      </w:r>
    </w:p>
    <w:p w14:paraId="4965B37B" w14:textId="77777777" w:rsidR="00E1180C" w:rsidRPr="00821D28" w:rsidRDefault="00B459C8" w:rsidP="00C95BA3">
      <w:pPr>
        <w:pStyle w:val="BodyText"/>
        <w:numPr>
          <w:ilvl w:val="0"/>
          <w:numId w:val="18"/>
        </w:numPr>
        <w:rPr>
          <w:sz w:val="21"/>
          <w:szCs w:val="21"/>
        </w:rPr>
      </w:pPr>
      <w:r w:rsidRPr="00821D28">
        <w:rPr>
          <w:sz w:val="21"/>
          <w:szCs w:val="21"/>
        </w:rPr>
        <w:t xml:space="preserve">Chapter 12 – </w:t>
      </w:r>
      <w:r w:rsidR="00E1180C" w:rsidRPr="00821D28">
        <w:rPr>
          <w:sz w:val="21"/>
          <w:szCs w:val="21"/>
        </w:rPr>
        <w:t>Glaucoma</w:t>
      </w:r>
      <w:r w:rsidRPr="00821D28">
        <w:rPr>
          <w:sz w:val="21"/>
          <w:szCs w:val="21"/>
        </w:rPr>
        <w:t>.</w:t>
      </w:r>
    </w:p>
    <w:p w14:paraId="5DA34F39" w14:textId="77777777" w:rsidR="00C74D9B" w:rsidRPr="00821D28" w:rsidRDefault="00C74D9B" w:rsidP="00584196">
      <w:pPr>
        <w:pStyle w:val="BodyText"/>
        <w:rPr>
          <w:sz w:val="21"/>
          <w:szCs w:val="21"/>
        </w:rPr>
      </w:pPr>
      <w:r w:rsidRPr="00821D28">
        <w:rPr>
          <w:sz w:val="21"/>
          <w:szCs w:val="21"/>
        </w:rPr>
        <w:t>We request that the current content</w:t>
      </w:r>
      <w:r w:rsidR="00B459C8" w:rsidRPr="00821D28">
        <w:rPr>
          <w:sz w:val="21"/>
          <w:szCs w:val="21"/>
        </w:rPr>
        <w:t xml:space="preserve"> in those chapters</w:t>
      </w:r>
      <w:r w:rsidRPr="00821D28">
        <w:rPr>
          <w:sz w:val="21"/>
          <w:szCs w:val="21"/>
        </w:rPr>
        <w:t xml:space="preserve"> be </w:t>
      </w:r>
      <w:r w:rsidR="00B459C8" w:rsidRPr="00821D28">
        <w:rPr>
          <w:sz w:val="21"/>
          <w:szCs w:val="21"/>
        </w:rPr>
        <w:t>expanded on, through a set of changes to content that are, where appropriate, consistent with similar content in the RACGP/NACCHO national guide.</w:t>
      </w:r>
    </w:p>
    <w:p w14:paraId="5D2319DE" w14:textId="04068A77" w:rsidR="00814A62" w:rsidRPr="00821D28" w:rsidRDefault="00814A62" w:rsidP="00584196">
      <w:pPr>
        <w:pStyle w:val="BodyText"/>
        <w:rPr>
          <w:color w:val="004B8D" w:themeColor="accent1"/>
          <w:sz w:val="21"/>
          <w:szCs w:val="21"/>
          <w:u w:val="single"/>
        </w:rPr>
      </w:pPr>
      <w:r w:rsidRPr="00821D28">
        <w:rPr>
          <w:sz w:val="21"/>
          <w:szCs w:val="21"/>
        </w:rPr>
        <w:t xml:space="preserve">As there are several options for how this could be achieved, we have developed three options for RACGP consideration which are summarised in </w:t>
      </w:r>
      <w:r w:rsidR="009D4D87" w:rsidRPr="00821D28">
        <w:rPr>
          <w:color w:val="004B8D" w:themeColor="accent1"/>
          <w:sz w:val="21"/>
          <w:szCs w:val="21"/>
          <w:u w:val="single"/>
        </w:rPr>
        <w:fldChar w:fldCharType="begin"/>
      </w:r>
      <w:r w:rsidR="009D4D87" w:rsidRPr="00821D28">
        <w:rPr>
          <w:color w:val="004B8D" w:themeColor="accent1"/>
          <w:sz w:val="21"/>
          <w:szCs w:val="21"/>
          <w:u w:val="single"/>
        </w:rPr>
        <w:instrText xml:space="preserve"> REF _Ref54955762 \h </w:instrText>
      </w:r>
      <w:r w:rsidR="00110206" w:rsidRPr="00821D28">
        <w:rPr>
          <w:color w:val="004B8D" w:themeColor="accent1"/>
          <w:sz w:val="21"/>
          <w:szCs w:val="21"/>
          <w:u w:val="single"/>
        </w:rPr>
        <w:instrText xml:space="preserve"> \* MERGEFORMAT </w:instrText>
      </w:r>
      <w:r w:rsidR="009D4D87" w:rsidRPr="00821D28">
        <w:rPr>
          <w:color w:val="004B8D" w:themeColor="accent1"/>
          <w:sz w:val="21"/>
          <w:szCs w:val="21"/>
          <w:u w:val="single"/>
        </w:rPr>
      </w:r>
      <w:r w:rsidR="009D4D87" w:rsidRPr="00821D28">
        <w:rPr>
          <w:color w:val="004B8D" w:themeColor="accent1"/>
          <w:sz w:val="21"/>
          <w:szCs w:val="21"/>
          <w:u w:val="single"/>
        </w:rPr>
        <w:fldChar w:fldCharType="separate"/>
      </w:r>
      <w:r w:rsidR="00E4175B" w:rsidRPr="00E4175B">
        <w:rPr>
          <w:color w:val="004B8D" w:themeColor="accent1"/>
          <w:sz w:val="21"/>
          <w:szCs w:val="21"/>
          <w:u w:val="single"/>
        </w:rPr>
        <w:t>Attachment 1: Content Relevant to Eye Health</w:t>
      </w:r>
      <w:r w:rsidR="009D4D87" w:rsidRPr="00821D28">
        <w:rPr>
          <w:color w:val="004B8D" w:themeColor="accent1"/>
          <w:sz w:val="21"/>
          <w:szCs w:val="21"/>
          <w:u w:val="single"/>
        </w:rPr>
        <w:fldChar w:fldCharType="end"/>
      </w:r>
      <w:r w:rsidRPr="00821D28">
        <w:rPr>
          <w:color w:val="004B8D" w:themeColor="accent1"/>
          <w:sz w:val="21"/>
          <w:szCs w:val="21"/>
          <w:u w:val="single"/>
        </w:rPr>
        <w:t>.</w:t>
      </w:r>
    </w:p>
    <w:p w14:paraId="26A44386" w14:textId="7628FFB2" w:rsidR="00C74D9B" w:rsidRPr="00821D28" w:rsidRDefault="00E52B87" w:rsidP="00C95BA3">
      <w:pPr>
        <w:pStyle w:val="BodyText"/>
        <w:numPr>
          <w:ilvl w:val="0"/>
          <w:numId w:val="17"/>
        </w:numPr>
        <w:rPr>
          <w:sz w:val="21"/>
          <w:szCs w:val="21"/>
        </w:rPr>
      </w:pPr>
      <w:r w:rsidRPr="00821D28">
        <w:rPr>
          <w:sz w:val="21"/>
          <w:szCs w:val="21"/>
        </w:rPr>
        <w:lastRenderedPageBreak/>
        <w:fldChar w:fldCharType="begin"/>
      </w:r>
      <w:r w:rsidRPr="00821D28">
        <w:rPr>
          <w:sz w:val="21"/>
          <w:szCs w:val="21"/>
        </w:rPr>
        <w:instrText xml:space="preserve"> REF _Ref54957959 \h  \* MERGEFORMAT </w:instrText>
      </w:r>
      <w:r w:rsidRPr="00821D28">
        <w:rPr>
          <w:sz w:val="21"/>
          <w:szCs w:val="21"/>
        </w:rPr>
      </w:r>
      <w:r w:rsidRPr="00821D28">
        <w:rPr>
          <w:sz w:val="21"/>
          <w:szCs w:val="21"/>
        </w:rPr>
        <w:fldChar w:fldCharType="separate"/>
      </w:r>
      <w:r w:rsidR="00E4175B" w:rsidRPr="00E4175B">
        <w:rPr>
          <w:rStyle w:val="Heading2Char"/>
          <w:color w:val="auto"/>
          <w:sz w:val="21"/>
          <w:szCs w:val="21"/>
        </w:rPr>
        <w:t>Option A</w:t>
      </w:r>
      <w:r w:rsidRPr="00821D28">
        <w:rPr>
          <w:sz w:val="21"/>
          <w:szCs w:val="21"/>
        </w:rPr>
        <w:fldChar w:fldCharType="end"/>
      </w:r>
      <w:r w:rsidR="00814A62" w:rsidRPr="00821D28">
        <w:rPr>
          <w:sz w:val="21"/>
          <w:szCs w:val="21"/>
        </w:rPr>
        <w:t xml:space="preserve"> would involve reproducing the relevant eye content contained in the RACGP/NACCHO national guide in full</w:t>
      </w:r>
      <w:r w:rsidRPr="00821D28">
        <w:rPr>
          <w:sz w:val="21"/>
          <w:szCs w:val="21"/>
        </w:rPr>
        <w:t xml:space="preserve"> </w:t>
      </w:r>
    </w:p>
    <w:p w14:paraId="06BF3869" w14:textId="46447E29" w:rsidR="00C74D9B" w:rsidRPr="00821D28" w:rsidRDefault="00E52B87" w:rsidP="00C95BA3">
      <w:pPr>
        <w:pStyle w:val="BodyText"/>
        <w:numPr>
          <w:ilvl w:val="0"/>
          <w:numId w:val="17"/>
        </w:numPr>
        <w:rPr>
          <w:sz w:val="21"/>
          <w:szCs w:val="21"/>
        </w:rPr>
      </w:pPr>
      <w:r w:rsidRPr="00821D28">
        <w:rPr>
          <w:sz w:val="21"/>
          <w:szCs w:val="21"/>
        </w:rPr>
        <w:fldChar w:fldCharType="begin"/>
      </w:r>
      <w:r w:rsidRPr="00821D28">
        <w:rPr>
          <w:sz w:val="21"/>
          <w:szCs w:val="21"/>
        </w:rPr>
        <w:instrText xml:space="preserve"> REF _Ref54958038 \h  \* MERGEFORMAT </w:instrText>
      </w:r>
      <w:r w:rsidRPr="00821D28">
        <w:rPr>
          <w:sz w:val="21"/>
          <w:szCs w:val="21"/>
        </w:rPr>
      </w:r>
      <w:r w:rsidRPr="00821D28">
        <w:rPr>
          <w:sz w:val="21"/>
          <w:szCs w:val="21"/>
        </w:rPr>
        <w:fldChar w:fldCharType="separate"/>
      </w:r>
      <w:r w:rsidR="00E4175B" w:rsidRPr="00E4175B">
        <w:rPr>
          <w:rStyle w:val="Heading2Char"/>
          <w:color w:val="auto"/>
          <w:sz w:val="21"/>
          <w:szCs w:val="21"/>
        </w:rPr>
        <w:t>Option B</w:t>
      </w:r>
      <w:r w:rsidRPr="00821D28">
        <w:rPr>
          <w:sz w:val="21"/>
          <w:szCs w:val="21"/>
        </w:rPr>
        <w:fldChar w:fldCharType="end"/>
      </w:r>
      <w:r w:rsidRPr="00821D28">
        <w:rPr>
          <w:sz w:val="21"/>
          <w:szCs w:val="21"/>
        </w:rPr>
        <w:t xml:space="preserve"> </w:t>
      </w:r>
      <w:r w:rsidR="00814A62" w:rsidRPr="00821D28">
        <w:rPr>
          <w:sz w:val="21"/>
          <w:szCs w:val="21"/>
        </w:rPr>
        <w:t xml:space="preserve">presents a </w:t>
      </w:r>
      <w:r w:rsidR="00C74D9B" w:rsidRPr="00821D28">
        <w:rPr>
          <w:sz w:val="21"/>
          <w:szCs w:val="21"/>
        </w:rPr>
        <w:t xml:space="preserve">pared back version of this </w:t>
      </w:r>
      <w:r w:rsidR="00814A62" w:rsidRPr="00821D28">
        <w:rPr>
          <w:sz w:val="21"/>
          <w:szCs w:val="21"/>
        </w:rPr>
        <w:t>which is tailored to the general population by removing trichiasis and trachoma as these are conditions primary seen in Aboriginal and Torres Strait Islander populations</w:t>
      </w:r>
      <w:r w:rsidR="00C74D9B" w:rsidRPr="00821D28">
        <w:rPr>
          <w:sz w:val="21"/>
          <w:szCs w:val="21"/>
        </w:rPr>
        <w:t xml:space="preserve"> </w:t>
      </w:r>
      <w:r w:rsidR="00814A62" w:rsidRPr="00821D28">
        <w:rPr>
          <w:sz w:val="21"/>
          <w:szCs w:val="21"/>
        </w:rPr>
        <w:t>but does not contain any change to wording</w:t>
      </w:r>
    </w:p>
    <w:p w14:paraId="70E3C79E" w14:textId="649EAE76" w:rsidR="00C74D9B" w:rsidRPr="00821D28" w:rsidRDefault="00E52B87" w:rsidP="00C95BA3">
      <w:pPr>
        <w:pStyle w:val="BodyText"/>
        <w:numPr>
          <w:ilvl w:val="0"/>
          <w:numId w:val="17"/>
        </w:numPr>
        <w:rPr>
          <w:sz w:val="21"/>
          <w:szCs w:val="21"/>
        </w:rPr>
      </w:pPr>
      <w:r w:rsidRPr="00821D28">
        <w:rPr>
          <w:b/>
          <w:sz w:val="21"/>
          <w:szCs w:val="21"/>
        </w:rPr>
        <w:fldChar w:fldCharType="begin"/>
      </w:r>
      <w:r w:rsidRPr="00821D28">
        <w:rPr>
          <w:b/>
          <w:sz w:val="21"/>
          <w:szCs w:val="21"/>
        </w:rPr>
        <w:instrText xml:space="preserve"> REF _Ref54958104 \h  \* MERGEFORMAT </w:instrText>
      </w:r>
      <w:r w:rsidRPr="00821D28">
        <w:rPr>
          <w:b/>
          <w:sz w:val="21"/>
          <w:szCs w:val="21"/>
        </w:rPr>
      </w:r>
      <w:r w:rsidRPr="00821D28">
        <w:rPr>
          <w:b/>
          <w:sz w:val="21"/>
          <w:szCs w:val="21"/>
        </w:rPr>
        <w:fldChar w:fldCharType="separate"/>
      </w:r>
      <w:r w:rsidR="00E4175B" w:rsidRPr="00E4175B">
        <w:rPr>
          <w:b/>
          <w:sz w:val="21"/>
          <w:szCs w:val="21"/>
        </w:rPr>
        <w:t>Option C</w:t>
      </w:r>
      <w:r w:rsidRPr="00821D28">
        <w:rPr>
          <w:b/>
          <w:sz w:val="21"/>
          <w:szCs w:val="21"/>
        </w:rPr>
        <w:fldChar w:fldCharType="end"/>
      </w:r>
      <w:r w:rsidRPr="00821D28">
        <w:rPr>
          <w:sz w:val="21"/>
          <w:szCs w:val="21"/>
        </w:rPr>
        <w:t xml:space="preserve"> </w:t>
      </w:r>
      <w:r w:rsidR="00814A62" w:rsidRPr="00821D28">
        <w:rPr>
          <w:sz w:val="21"/>
          <w:szCs w:val="21"/>
        </w:rPr>
        <w:t>presents a</w:t>
      </w:r>
      <w:r w:rsidR="00C74D9B" w:rsidRPr="00821D28">
        <w:rPr>
          <w:sz w:val="21"/>
          <w:szCs w:val="21"/>
        </w:rPr>
        <w:t xml:space="preserve"> </w:t>
      </w:r>
      <w:r w:rsidR="00814A62" w:rsidRPr="00821D28">
        <w:rPr>
          <w:sz w:val="21"/>
          <w:szCs w:val="21"/>
        </w:rPr>
        <w:t xml:space="preserve">more tailored option, in which the content is tailored to the general population and a range of changes to the text are proposed to clarify and/or expand on existing text. </w:t>
      </w:r>
    </w:p>
    <w:p w14:paraId="6D6DF06E" w14:textId="77777777" w:rsidR="00153F11" w:rsidRPr="00821D28" w:rsidRDefault="00C74D9B" w:rsidP="003E147C">
      <w:pPr>
        <w:pStyle w:val="BodyText"/>
        <w:spacing w:before="240" w:after="240"/>
        <w:rPr>
          <w:sz w:val="21"/>
          <w:szCs w:val="21"/>
        </w:rPr>
      </w:pPr>
      <w:r w:rsidRPr="00821D28">
        <w:rPr>
          <w:sz w:val="21"/>
          <w:szCs w:val="21"/>
        </w:rPr>
        <w:t>Ideally</w:t>
      </w:r>
      <w:r w:rsidR="00110206" w:rsidRPr="00821D28">
        <w:rPr>
          <w:sz w:val="21"/>
          <w:szCs w:val="21"/>
        </w:rPr>
        <w:t>,</w:t>
      </w:r>
      <w:r w:rsidRPr="00821D28">
        <w:rPr>
          <w:sz w:val="21"/>
          <w:szCs w:val="21"/>
        </w:rPr>
        <w:t xml:space="preserve"> we would prefer Option C to be incorporated into the Red Book</w:t>
      </w:r>
      <w:r w:rsidR="00705C18" w:rsidRPr="00821D28">
        <w:rPr>
          <w:sz w:val="21"/>
          <w:szCs w:val="21"/>
        </w:rPr>
        <w:t xml:space="preserve"> but look forward to discussing the alternatives with you</w:t>
      </w:r>
      <w:r w:rsidRPr="00821D28">
        <w:rPr>
          <w:sz w:val="21"/>
          <w:szCs w:val="21"/>
        </w:rPr>
        <w:t xml:space="preserve">. </w:t>
      </w:r>
    </w:p>
    <w:p w14:paraId="2DADABDD" w14:textId="77777777" w:rsidR="00814A62" w:rsidRDefault="00814A62" w:rsidP="00814A62">
      <w:pPr>
        <w:pStyle w:val="Heading3"/>
      </w:pPr>
      <w:r>
        <w:t>Evidence guide and establishment of dedicated chapter</w:t>
      </w:r>
    </w:p>
    <w:p w14:paraId="7AA71985" w14:textId="77777777" w:rsidR="00814A62" w:rsidRPr="00821D28" w:rsidRDefault="00814A62" w:rsidP="002E1E2A">
      <w:pPr>
        <w:pStyle w:val="BodyText"/>
        <w:spacing w:after="240"/>
        <w:rPr>
          <w:sz w:val="21"/>
          <w:szCs w:val="21"/>
        </w:rPr>
      </w:pPr>
      <w:r w:rsidRPr="00821D28">
        <w:rPr>
          <w:sz w:val="21"/>
          <w:szCs w:val="21"/>
        </w:rPr>
        <w:t>In inviting submissions to the Red Book review, the College has</w:t>
      </w:r>
      <w:r w:rsidR="00C74D9B" w:rsidRPr="00821D28">
        <w:rPr>
          <w:sz w:val="21"/>
          <w:szCs w:val="21"/>
        </w:rPr>
        <w:t xml:space="preserve"> </w:t>
      </w:r>
      <w:r w:rsidR="001F2388" w:rsidRPr="00821D28">
        <w:rPr>
          <w:sz w:val="21"/>
          <w:szCs w:val="21"/>
        </w:rPr>
        <w:t xml:space="preserve">also </w:t>
      </w:r>
      <w:r w:rsidR="00C74D9B" w:rsidRPr="00821D28">
        <w:rPr>
          <w:sz w:val="21"/>
          <w:szCs w:val="21"/>
        </w:rPr>
        <w:t xml:space="preserve">requested evidence to support the inclusion of </w:t>
      </w:r>
      <w:r w:rsidRPr="00821D28">
        <w:rPr>
          <w:sz w:val="21"/>
          <w:szCs w:val="21"/>
        </w:rPr>
        <w:t>proposed</w:t>
      </w:r>
      <w:r w:rsidR="00C74D9B" w:rsidRPr="00821D28">
        <w:rPr>
          <w:sz w:val="21"/>
          <w:szCs w:val="21"/>
        </w:rPr>
        <w:t xml:space="preserve"> changes in the Red Book. </w:t>
      </w:r>
    </w:p>
    <w:p w14:paraId="778AF428" w14:textId="2689359A" w:rsidR="002F1EC9" w:rsidRPr="009576A8" w:rsidRDefault="00C74D9B" w:rsidP="002E1E2A">
      <w:pPr>
        <w:pStyle w:val="BodyText"/>
        <w:spacing w:after="240"/>
        <w:rPr>
          <w:color w:val="004B8D" w:themeColor="accent1"/>
          <w:sz w:val="21"/>
          <w:szCs w:val="21"/>
          <w:u w:val="single"/>
        </w:rPr>
      </w:pPr>
      <w:r w:rsidRPr="00821D28">
        <w:rPr>
          <w:sz w:val="21"/>
          <w:szCs w:val="21"/>
        </w:rPr>
        <w:t xml:space="preserve">As much of the evidence to support </w:t>
      </w:r>
      <w:r w:rsidR="00814A62" w:rsidRPr="00821D28">
        <w:rPr>
          <w:sz w:val="21"/>
          <w:szCs w:val="21"/>
        </w:rPr>
        <w:t>the proposed changes</w:t>
      </w:r>
      <w:r w:rsidRPr="00821D28">
        <w:rPr>
          <w:sz w:val="21"/>
          <w:szCs w:val="21"/>
        </w:rPr>
        <w:t xml:space="preserve"> is common to both Aboriginal and Torres Strait Islander Peoples and other Australians and we recognise the importance of consistency in approach, </w:t>
      </w:r>
      <w:r w:rsidR="00814A62" w:rsidRPr="00821D28">
        <w:rPr>
          <w:sz w:val="21"/>
          <w:szCs w:val="21"/>
        </w:rPr>
        <w:t xml:space="preserve">Vision 2020 Australia has </w:t>
      </w:r>
      <w:r w:rsidRPr="00821D28">
        <w:rPr>
          <w:sz w:val="21"/>
          <w:szCs w:val="21"/>
        </w:rPr>
        <w:t>adapted the evidentiary guide contained in the RACGP/NACCHO</w:t>
      </w:r>
      <w:r w:rsidR="00814A62" w:rsidRPr="00821D28">
        <w:rPr>
          <w:sz w:val="21"/>
          <w:szCs w:val="21"/>
        </w:rPr>
        <w:t xml:space="preserve"> national guide for this purpose</w:t>
      </w:r>
      <w:r w:rsidRPr="00821D28">
        <w:rPr>
          <w:sz w:val="21"/>
          <w:szCs w:val="21"/>
        </w:rPr>
        <w:t>. This is provided at</w:t>
      </w:r>
      <w:r w:rsidR="006A1ADD">
        <w:rPr>
          <w:sz w:val="21"/>
          <w:szCs w:val="21"/>
        </w:rPr>
        <w:t xml:space="preserve"> </w:t>
      </w:r>
      <w:r w:rsidR="006A1ADD" w:rsidRPr="00082FB3">
        <w:rPr>
          <w:color w:val="004B8D" w:themeColor="accent1"/>
          <w:sz w:val="21"/>
          <w:szCs w:val="21"/>
          <w:u w:val="single"/>
        </w:rPr>
        <w:fldChar w:fldCharType="begin"/>
      </w:r>
      <w:r w:rsidR="006A1ADD" w:rsidRPr="00082FB3">
        <w:rPr>
          <w:color w:val="004B8D" w:themeColor="accent1"/>
          <w:sz w:val="21"/>
          <w:szCs w:val="21"/>
          <w:u w:val="single"/>
        </w:rPr>
        <w:instrText xml:space="preserve"> REF _Ref56777729 \h </w:instrText>
      </w:r>
      <w:r w:rsidR="00082FB3" w:rsidRPr="00082FB3">
        <w:rPr>
          <w:color w:val="004B8D" w:themeColor="accent1"/>
          <w:sz w:val="21"/>
          <w:szCs w:val="21"/>
          <w:u w:val="single"/>
        </w:rPr>
        <w:instrText xml:space="preserve"> \* MERGEFORMAT </w:instrText>
      </w:r>
      <w:r w:rsidR="006A1ADD" w:rsidRPr="00082FB3">
        <w:rPr>
          <w:color w:val="004B8D" w:themeColor="accent1"/>
          <w:sz w:val="21"/>
          <w:szCs w:val="21"/>
          <w:u w:val="single"/>
        </w:rPr>
      </w:r>
      <w:r w:rsidR="006A1ADD" w:rsidRPr="00082FB3">
        <w:rPr>
          <w:color w:val="004B8D" w:themeColor="accent1"/>
          <w:sz w:val="21"/>
          <w:szCs w:val="21"/>
          <w:u w:val="single"/>
        </w:rPr>
        <w:fldChar w:fldCharType="separate"/>
      </w:r>
      <w:r w:rsidR="00E4175B" w:rsidRPr="00E4175B">
        <w:rPr>
          <w:color w:val="004B8D" w:themeColor="accent1"/>
          <w:u w:val="single"/>
        </w:rPr>
        <w:t>Attachment 2:  Evidence Base</w:t>
      </w:r>
      <w:r w:rsidR="006A1ADD" w:rsidRPr="00082FB3">
        <w:rPr>
          <w:color w:val="004B8D" w:themeColor="accent1"/>
          <w:sz w:val="21"/>
          <w:szCs w:val="21"/>
          <w:u w:val="single"/>
        </w:rPr>
        <w:fldChar w:fldCharType="end"/>
      </w:r>
      <w:r w:rsidR="006A1ADD" w:rsidRPr="00082FB3">
        <w:rPr>
          <w:color w:val="004B8D" w:themeColor="accent1"/>
          <w:sz w:val="21"/>
          <w:szCs w:val="21"/>
          <w:u w:val="single"/>
        </w:rPr>
        <w:t>.</w:t>
      </w:r>
      <w:r w:rsidR="002F1EC9" w:rsidRPr="00082FB3">
        <w:rPr>
          <w:color w:val="004B8D" w:themeColor="accent1"/>
          <w:sz w:val="21"/>
          <w:szCs w:val="21"/>
        </w:rPr>
        <w:t xml:space="preserve"> </w:t>
      </w:r>
    </w:p>
    <w:p w14:paraId="28C591A7" w14:textId="77777777" w:rsidR="00814A62" w:rsidRPr="00821D28" w:rsidRDefault="003B39B4" w:rsidP="00814A62">
      <w:pPr>
        <w:spacing w:before="80" w:after="80"/>
        <w:rPr>
          <w:sz w:val="21"/>
          <w:szCs w:val="21"/>
        </w:rPr>
      </w:pPr>
      <w:r w:rsidRPr="00821D28">
        <w:rPr>
          <w:sz w:val="21"/>
          <w:szCs w:val="21"/>
        </w:rPr>
        <w:t xml:space="preserve">At present, the Red Book does not have a designated chapter for “Eye Health” but rather addresses vision and eye health </w:t>
      </w:r>
      <w:r w:rsidR="00814A62" w:rsidRPr="00821D28">
        <w:rPr>
          <w:sz w:val="21"/>
          <w:szCs w:val="21"/>
        </w:rPr>
        <w:t xml:space="preserve">on pages 50 and 137. </w:t>
      </w:r>
      <w:r w:rsidRPr="00821D28">
        <w:rPr>
          <w:sz w:val="21"/>
          <w:szCs w:val="21"/>
        </w:rPr>
        <w:t xml:space="preserve">Vision 2020 Australia proposes that the next edition of the Red Book include a dedicated chapter on eye health and vision, which could be based on the content provided at Attachment 2.  This would be a valuable complement to the changes proposed to testing protocols for patients of various ages.  </w:t>
      </w:r>
    </w:p>
    <w:p w14:paraId="3E717588" w14:textId="77777777" w:rsidR="00814A62" w:rsidRPr="00821D28" w:rsidRDefault="00814A62" w:rsidP="003E147C">
      <w:pPr>
        <w:pStyle w:val="BodyText"/>
        <w:spacing w:before="240" w:after="240"/>
        <w:rPr>
          <w:sz w:val="21"/>
          <w:szCs w:val="21"/>
        </w:rPr>
      </w:pPr>
      <w:r w:rsidRPr="00821D28">
        <w:rPr>
          <w:sz w:val="21"/>
          <w:szCs w:val="21"/>
        </w:rPr>
        <w:t>Vision 2020 Australia</w:t>
      </w:r>
      <w:r w:rsidR="00C74D9B" w:rsidRPr="00821D28">
        <w:rPr>
          <w:sz w:val="21"/>
          <w:szCs w:val="21"/>
        </w:rPr>
        <w:t xml:space="preserve"> recognise</w:t>
      </w:r>
      <w:r w:rsidRPr="00821D28">
        <w:rPr>
          <w:sz w:val="21"/>
          <w:szCs w:val="21"/>
        </w:rPr>
        <w:t>s</w:t>
      </w:r>
      <w:r w:rsidR="00C74D9B" w:rsidRPr="00821D28">
        <w:rPr>
          <w:sz w:val="21"/>
          <w:szCs w:val="21"/>
        </w:rPr>
        <w:t xml:space="preserve"> that general practitioners are extremely busy, an</w:t>
      </w:r>
      <w:r w:rsidR="002F1EC9" w:rsidRPr="00821D28">
        <w:rPr>
          <w:sz w:val="21"/>
          <w:szCs w:val="21"/>
        </w:rPr>
        <w:t xml:space="preserve">d that there are likely many requests for them to expand existing testing protocols to incorporate additional activities. We consider an expanded focus on vision to be a change that could deliver a significant improvement in health and independence to many Australians into the future, but </w:t>
      </w:r>
      <w:r w:rsidR="00C74D9B" w:rsidRPr="00821D28">
        <w:rPr>
          <w:sz w:val="21"/>
          <w:szCs w:val="21"/>
        </w:rPr>
        <w:t>anticipate that the time required to incorporate this into those checks would be minimal</w:t>
      </w:r>
      <w:r w:rsidR="002F1EC9" w:rsidRPr="00821D28">
        <w:rPr>
          <w:sz w:val="21"/>
          <w:szCs w:val="21"/>
        </w:rPr>
        <w:t xml:space="preserve"> (estimated time required would be </w:t>
      </w:r>
      <w:r w:rsidR="00BE517A" w:rsidRPr="00821D28">
        <w:rPr>
          <w:sz w:val="21"/>
          <w:szCs w:val="21"/>
        </w:rPr>
        <w:t>1-2 minutes</w:t>
      </w:r>
      <w:r w:rsidR="002F1EC9" w:rsidRPr="00821D28">
        <w:rPr>
          <w:sz w:val="21"/>
          <w:szCs w:val="21"/>
        </w:rPr>
        <w:t xml:space="preserve">). </w:t>
      </w:r>
    </w:p>
    <w:p w14:paraId="21B6AF49" w14:textId="0046B132" w:rsidR="00C74D9B" w:rsidRDefault="002F1EC9" w:rsidP="003E147C">
      <w:pPr>
        <w:pStyle w:val="BodyText"/>
        <w:spacing w:before="240" w:after="240"/>
        <w:rPr>
          <w:sz w:val="21"/>
          <w:szCs w:val="21"/>
        </w:rPr>
      </w:pPr>
      <w:r w:rsidRPr="00821D28">
        <w:rPr>
          <w:sz w:val="21"/>
          <w:szCs w:val="21"/>
        </w:rPr>
        <w:t xml:space="preserve">In </w:t>
      </w:r>
      <w:r w:rsidR="009D4D87" w:rsidRPr="00821D28">
        <w:rPr>
          <w:sz w:val="21"/>
          <w:szCs w:val="21"/>
        </w:rPr>
        <w:t>addition,</w:t>
      </w:r>
      <w:r w:rsidRPr="00821D28">
        <w:rPr>
          <w:sz w:val="21"/>
          <w:szCs w:val="21"/>
        </w:rPr>
        <w:t xml:space="preserve"> </w:t>
      </w:r>
      <w:r w:rsidR="00814A62" w:rsidRPr="00821D28">
        <w:rPr>
          <w:sz w:val="21"/>
          <w:szCs w:val="21"/>
        </w:rPr>
        <w:t>our members have noted</w:t>
      </w:r>
      <w:r w:rsidRPr="00821D28">
        <w:rPr>
          <w:sz w:val="21"/>
          <w:szCs w:val="21"/>
        </w:rPr>
        <w:t xml:space="preserve"> that</w:t>
      </w:r>
      <w:r w:rsidR="00C74D9B" w:rsidRPr="00821D28">
        <w:rPr>
          <w:sz w:val="21"/>
          <w:szCs w:val="21"/>
        </w:rPr>
        <w:t xml:space="preserve"> general practitioners already have the necessary skills and training for the suggested changes, although free online training and resources are available should practitioners wish to refresh their knowledge and skills around eye health and vision.</w:t>
      </w:r>
      <w:r w:rsidR="00814A62" w:rsidRPr="00821D28">
        <w:rPr>
          <w:sz w:val="21"/>
          <w:szCs w:val="21"/>
        </w:rPr>
        <w:t xml:space="preserve"> </w:t>
      </w:r>
    </w:p>
    <w:p w14:paraId="33086BC2" w14:textId="382CF9FC" w:rsidR="002C4E66" w:rsidRPr="00821D28" w:rsidRDefault="002C4E66" w:rsidP="003E147C">
      <w:pPr>
        <w:pStyle w:val="BodyText"/>
        <w:spacing w:before="240" w:after="240"/>
        <w:rPr>
          <w:sz w:val="21"/>
          <w:szCs w:val="21"/>
        </w:rPr>
      </w:pPr>
      <w:r w:rsidRPr="00264D7D">
        <w:rPr>
          <w:sz w:val="21"/>
          <w:szCs w:val="21"/>
        </w:rPr>
        <w:t xml:space="preserve">This submission has been endorsed by the members of the Vision 2020 Australia Prevention and Early Intervention Committee, which includes representatives from the Royal Australian and New Zealand College of Ophthalmologists, Optometry Australia, the Indigenous Eye Health Unit, University of Melbourne amongst others. A list of all organisations represented on that Committee is at </w:t>
      </w:r>
      <w:hyperlink w:anchor="_Attachment_C" w:history="1">
        <w:r w:rsidRPr="00264D7D">
          <w:rPr>
            <w:rStyle w:val="Hyperlink"/>
            <w:sz w:val="21"/>
            <w:szCs w:val="21"/>
          </w:rPr>
          <w:t>Attachmen</w:t>
        </w:r>
        <w:r w:rsidR="00264D7D">
          <w:rPr>
            <w:rStyle w:val="Hyperlink"/>
            <w:sz w:val="21"/>
            <w:szCs w:val="21"/>
          </w:rPr>
          <w:t>t 3</w:t>
        </w:r>
      </w:hyperlink>
      <w:r w:rsidRPr="00264D7D">
        <w:rPr>
          <w:sz w:val="21"/>
          <w:szCs w:val="21"/>
        </w:rPr>
        <w:t xml:space="preserve">. </w:t>
      </w:r>
    </w:p>
    <w:p w14:paraId="786F44EE" w14:textId="77777777" w:rsidR="009A3790" w:rsidRPr="00821D28" w:rsidRDefault="00B459C8" w:rsidP="009A3790">
      <w:pPr>
        <w:pStyle w:val="BodyText"/>
        <w:spacing w:before="240" w:after="240"/>
        <w:rPr>
          <w:sz w:val="21"/>
          <w:szCs w:val="21"/>
        </w:rPr>
      </w:pPr>
      <w:r w:rsidRPr="00821D28">
        <w:rPr>
          <w:sz w:val="21"/>
          <w:szCs w:val="21"/>
        </w:rPr>
        <w:t xml:space="preserve">Vision 2020 Australia and its members </w:t>
      </w:r>
      <w:r w:rsidR="002F1EC9" w:rsidRPr="00821D28">
        <w:rPr>
          <w:sz w:val="21"/>
          <w:szCs w:val="21"/>
        </w:rPr>
        <w:t>would welcome the opportunity to meet with you to discuss how we can work together to prevent avoidable blindness</w:t>
      </w:r>
      <w:r w:rsidR="00E756DF" w:rsidRPr="00821D28">
        <w:rPr>
          <w:sz w:val="21"/>
          <w:szCs w:val="21"/>
        </w:rPr>
        <w:t xml:space="preserve">, both by supporting the changes outlined in this submission and exploring what practical strategies might be helpful in supporting any change in GP practice in the future. </w:t>
      </w:r>
    </w:p>
    <w:p w14:paraId="5FB44E41" w14:textId="77777777" w:rsidR="00153F11" w:rsidRPr="00821D28" w:rsidRDefault="00153F11" w:rsidP="00153F11">
      <w:pPr>
        <w:pStyle w:val="BodyText"/>
        <w:spacing w:after="240"/>
        <w:rPr>
          <w:sz w:val="21"/>
          <w:szCs w:val="21"/>
        </w:rPr>
      </w:pPr>
      <w:r w:rsidRPr="00821D28">
        <w:rPr>
          <w:sz w:val="21"/>
          <w:szCs w:val="21"/>
        </w:rPr>
        <w:t>Yours sincerely</w:t>
      </w:r>
    </w:p>
    <w:p w14:paraId="232AEDC1" w14:textId="77777777" w:rsidR="005246F4" w:rsidRPr="00821D28" w:rsidRDefault="00821D28" w:rsidP="00153F11">
      <w:pPr>
        <w:pStyle w:val="BodyText"/>
        <w:spacing w:after="240"/>
        <w:rPr>
          <w:sz w:val="21"/>
          <w:szCs w:val="21"/>
        </w:rPr>
      </w:pPr>
      <w:r>
        <w:rPr>
          <w:noProof/>
          <w:sz w:val="21"/>
          <w:szCs w:val="21"/>
        </w:rPr>
        <w:drawing>
          <wp:inline distT="0" distB="0" distL="0" distR="0" wp14:anchorId="12669008" wp14:editId="03B02C6C">
            <wp:extent cx="1657350" cy="72400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anine Sherrard_Electronic Signature 1.png"/>
                    <pic:cNvPicPr/>
                  </pic:nvPicPr>
                  <pic:blipFill>
                    <a:blip r:embed="rId17"/>
                    <a:stretch>
                      <a:fillRect/>
                    </a:stretch>
                  </pic:blipFill>
                  <pic:spPr>
                    <a:xfrm>
                      <a:off x="0" y="0"/>
                      <a:ext cx="1676607" cy="732413"/>
                    </a:xfrm>
                    <a:prstGeom prst="rect">
                      <a:avLst/>
                    </a:prstGeom>
                  </pic:spPr>
                </pic:pic>
              </a:graphicData>
            </a:graphic>
          </wp:inline>
        </w:drawing>
      </w:r>
    </w:p>
    <w:p w14:paraId="40EFCC4C" w14:textId="77777777" w:rsidR="00705C18" w:rsidRPr="00821D28" w:rsidRDefault="00B459C8" w:rsidP="00153F11">
      <w:pPr>
        <w:pStyle w:val="BodyText"/>
        <w:spacing w:before="0" w:after="0"/>
        <w:rPr>
          <w:sz w:val="21"/>
          <w:szCs w:val="21"/>
        </w:rPr>
      </w:pPr>
      <w:r w:rsidRPr="00821D28">
        <w:rPr>
          <w:sz w:val="21"/>
          <w:szCs w:val="21"/>
        </w:rPr>
        <w:t>Janine Sherrard</w:t>
      </w:r>
    </w:p>
    <w:p w14:paraId="4A7D4884" w14:textId="77777777" w:rsidR="00B459C8" w:rsidRPr="00821D28" w:rsidRDefault="00B459C8" w:rsidP="00153F11">
      <w:pPr>
        <w:pStyle w:val="BodyText"/>
        <w:spacing w:before="0" w:after="0"/>
        <w:rPr>
          <w:sz w:val="21"/>
          <w:szCs w:val="21"/>
        </w:rPr>
      </w:pPr>
      <w:r w:rsidRPr="00821D28">
        <w:rPr>
          <w:sz w:val="21"/>
          <w:szCs w:val="21"/>
        </w:rPr>
        <w:t>General Manager Policy, Advocacy and Engagement</w:t>
      </w:r>
    </w:p>
    <w:p w14:paraId="4353BFAD" w14:textId="77777777" w:rsidR="00137347" w:rsidRPr="00B21F36" w:rsidRDefault="00137347" w:rsidP="00153F11">
      <w:pPr>
        <w:pStyle w:val="BodyText"/>
        <w:spacing w:before="0" w:after="0"/>
        <w:rPr>
          <w:noProof/>
          <w:szCs w:val="22"/>
        </w:rPr>
      </w:pPr>
      <w:r w:rsidRPr="00B21F36">
        <w:rPr>
          <w:noProof/>
          <w:szCs w:val="22"/>
        </w:rPr>
        <w:br w:type="page"/>
      </w:r>
    </w:p>
    <w:p w14:paraId="7EED33E0" w14:textId="77777777" w:rsidR="00E52B87" w:rsidRDefault="001B2F09" w:rsidP="00E52B87">
      <w:pPr>
        <w:pStyle w:val="Heading1"/>
      </w:pPr>
      <w:bookmarkStart w:id="1" w:name="_Ref54955762"/>
      <w:r>
        <w:lastRenderedPageBreak/>
        <w:t xml:space="preserve">Attachment 1: Content Relevant to </w:t>
      </w:r>
      <w:r w:rsidR="00B21F36">
        <w:t>Eye Health</w:t>
      </w:r>
      <w:bookmarkEnd w:id="1"/>
    </w:p>
    <w:p w14:paraId="6CEC0505" w14:textId="77777777" w:rsidR="00E52B87" w:rsidRPr="00E52B87" w:rsidRDefault="001B2F09" w:rsidP="00E52B87">
      <w:pPr>
        <w:pStyle w:val="Heading1"/>
        <w:rPr>
          <w:rStyle w:val="Heading2Char"/>
          <w:b/>
          <w:color w:val="auto"/>
        </w:rPr>
      </w:pPr>
      <w:bookmarkStart w:id="2" w:name="_Ref54957959"/>
      <w:r w:rsidRPr="00E52B87">
        <w:rPr>
          <w:rStyle w:val="Heading2Char"/>
          <w:b/>
          <w:color w:val="auto"/>
        </w:rPr>
        <w:t>Option A</w:t>
      </w:r>
      <w:bookmarkEnd w:id="2"/>
      <w:r w:rsidR="00E756DF">
        <w:rPr>
          <w:rStyle w:val="Heading2Char"/>
          <w:b/>
          <w:color w:val="auto"/>
        </w:rPr>
        <w:t>: Reproduce in full relevant content from the RACGP/NACCHO national guide</w:t>
      </w:r>
    </w:p>
    <w:p w14:paraId="35897958" w14:textId="77777777" w:rsidR="001B2F09" w:rsidRPr="00E52B87" w:rsidRDefault="00E756DF" w:rsidP="00E52B87">
      <w:pPr>
        <w:pStyle w:val="Heading1"/>
        <w:rPr>
          <w:rFonts w:ascii="Arial" w:hAnsi="Arial"/>
          <w:color w:val="auto"/>
          <w:sz w:val="22"/>
          <w:szCs w:val="20"/>
        </w:rPr>
      </w:pPr>
      <w:r w:rsidRPr="00E756DF">
        <w:rPr>
          <w:rFonts w:ascii="Arial" w:hAnsi="Arial"/>
          <w:b w:val="0"/>
          <w:color w:val="auto"/>
          <w:sz w:val="22"/>
          <w:szCs w:val="20"/>
        </w:rPr>
        <w:t xml:space="preserve">(source: </w:t>
      </w:r>
      <w:r w:rsidR="00B21F36" w:rsidRPr="00E756DF">
        <w:rPr>
          <w:rFonts w:ascii="Arial" w:hAnsi="Arial"/>
          <w:b w:val="0"/>
          <w:color w:val="auto"/>
          <w:sz w:val="22"/>
          <w:szCs w:val="20"/>
        </w:rPr>
        <w:t xml:space="preserve"> </w:t>
      </w:r>
      <w:hyperlink r:id="rId18" w:history="1">
        <w:r w:rsidR="00B21F36" w:rsidRPr="00E756DF">
          <w:rPr>
            <w:rStyle w:val="Hyperlink"/>
            <w:rFonts w:ascii="Arial" w:hAnsi="Arial"/>
            <w:b w:val="0"/>
            <w:sz w:val="22"/>
            <w:szCs w:val="20"/>
          </w:rPr>
          <w:t>RACGP/NACCHO National guide to a preventive health assessment for Aboriginal and Torres Strait Islander people</w:t>
        </w:r>
      </w:hyperlink>
      <w:r w:rsidR="000544F1" w:rsidRPr="00E756DF">
        <w:rPr>
          <w:rFonts w:ascii="Arial" w:hAnsi="Arial"/>
          <w:b w:val="0"/>
          <w:sz w:val="22"/>
          <w:szCs w:val="20"/>
        </w:rPr>
        <w:t xml:space="preserve"> </w:t>
      </w:r>
      <w:r w:rsidR="00B21F36" w:rsidRPr="00E756DF">
        <w:rPr>
          <w:rFonts w:ascii="Arial" w:hAnsi="Arial"/>
          <w:b w:val="0"/>
          <w:color w:val="auto"/>
          <w:sz w:val="22"/>
          <w:szCs w:val="20"/>
        </w:rPr>
        <w:t>Chapter 6</w:t>
      </w:r>
      <w:r w:rsidRPr="00E756DF">
        <w:rPr>
          <w:rFonts w:ascii="Arial" w:hAnsi="Arial"/>
          <w:b w:val="0"/>
          <w:color w:val="auto"/>
          <w:sz w:val="22"/>
          <w:szCs w:val="20"/>
        </w:rPr>
        <w:t xml:space="preserve">, </w:t>
      </w:r>
      <w:r w:rsidR="00841BC1" w:rsidRPr="00E756DF">
        <w:rPr>
          <w:rFonts w:ascii="Arial" w:hAnsi="Arial"/>
          <w:b w:val="0"/>
          <w:color w:val="auto"/>
          <w:sz w:val="22"/>
          <w:szCs w:val="20"/>
        </w:rPr>
        <w:t>p</w:t>
      </w:r>
      <w:r w:rsidRPr="00E756DF">
        <w:rPr>
          <w:rFonts w:ascii="Arial" w:hAnsi="Arial"/>
          <w:b w:val="0"/>
          <w:color w:val="auto"/>
          <w:sz w:val="22"/>
          <w:szCs w:val="20"/>
        </w:rPr>
        <w:t xml:space="preserve">p </w:t>
      </w:r>
      <w:r w:rsidR="00841BC1" w:rsidRPr="00E756DF">
        <w:rPr>
          <w:rFonts w:ascii="Arial" w:hAnsi="Arial"/>
          <w:b w:val="0"/>
          <w:color w:val="auto"/>
          <w:sz w:val="22"/>
          <w:szCs w:val="20"/>
        </w:rPr>
        <w:t xml:space="preserve">66 </w:t>
      </w:r>
      <w:r w:rsidRPr="00E756DF">
        <w:rPr>
          <w:rFonts w:ascii="Arial" w:hAnsi="Arial"/>
          <w:b w:val="0"/>
          <w:color w:val="auto"/>
          <w:sz w:val="22"/>
          <w:szCs w:val="20"/>
        </w:rPr>
        <w:t>-</w:t>
      </w:r>
      <w:r w:rsidR="00841BC1" w:rsidRPr="00E756DF">
        <w:rPr>
          <w:rFonts w:ascii="Arial" w:hAnsi="Arial"/>
          <w:b w:val="0"/>
          <w:color w:val="auto"/>
          <w:sz w:val="22"/>
          <w:szCs w:val="20"/>
        </w:rPr>
        <w:t>67)</w:t>
      </w:r>
    </w:p>
    <w:p w14:paraId="7600E76D" w14:textId="77777777" w:rsidR="00D4374E" w:rsidRDefault="006F4D67" w:rsidP="001B2F09">
      <w:pPr>
        <w:pStyle w:val="BodyText"/>
      </w:pPr>
      <w:r w:rsidRPr="000544F1">
        <w:rPr>
          <w:noProof/>
        </w:rPr>
        <w:drawing>
          <wp:inline distT="0" distB="0" distL="0" distR="0" wp14:anchorId="18A4D07A" wp14:editId="05DE965D">
            <wp:extent cx="6556443" cy="76209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562608" cy="7628071"/>
                    </a:xfrm>
                    <a:prstGeom prst="rect">
                      <a:avLst/>
                    </a:prstGeom>
                  </pic:spPr>
                </pic:pic>
              </a:graphicData>
            </a:graphic>
          </wp:inline>
        </w:drawing>
      </w:r>
      <w:r w:rsidR="00D46048" w:rsidRPr="00D46048">
        <w:rPr>
          <w:noProof/>
        </w:rPr>
        <w:t xml:space="preserve"> </w:t>
      </w:r>
    </w:p>
    <w:p w14:paraId="1BBB4539" w14:textId="77777777" w:rsidR="007E0BF8" w:rsidRDefault="000544F1" w:rsidP="001B2F09">
      <w:pPr>
        <w:pStyle w:val="BodyText"/>
      </w:pPr>
      <w:r w:rsidRPr="000544F1">
        <w:rPr>
          <w:rFonts w:asciiTheme="majorHAnsi" w:hAnsiTheme="majorHAnsi"/>
          <w:b/>
          <w:bCs/>
          <w:noProof/>
        </w:rPr>
        <w:lastRenderedPageBreak/>
        <w:drawing>
          <wp:inline distT="0" distB="0" distL="0" distR="0" wp14:anchorId="473B308C" wp14:editId="44C23EA1">
            <wp:extent cx="7031806" cy="9163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7075404" cy="9219862"/>
                    </a:xfrm>
                    <a:prstGeom prst="rect">
                      <a:avLst/>
                    </a:prstGeom>
                  </pic:spPr>
                </pic:pic>
              </a:graphicData>
            </a:graphic>
          </wp:inline>
        </w:drawing>
      </w:r>
    </w:p>
    <w:p w14:paraId="7A5B62A9" w14:textId="77777777" w:rsidR="007E0BF8" w:rsidRPr="00D4374E" w:rsidRDefault="007E0BF8" w:rsidP="001B2F09">
      <w:pPr>
        <w:pStyle w:val="BodyText"/>
      </w:pPr>
    </w:p>
    <w:p w14:paraId="1EE4EE20" w14:textId="77777777" w:rsidR="00E756DF" w:rsidRPr="00E52B87" w:rsidRDefault="001B2F09" w:rsidP="00E756DF">
      <w:pPr>
        <w:pStyle w:val="Heading1"/>
        <w:rPr>
          <w:rStyle w:val="Heading2Char"/>
          <w:b/>
          <w:color w:val="auto"/>
        </w:rPr>
      </w:pPr>
      <w:bookmarkStart w:id="3" w:name="_Ref54958038"/>
      <w:r w:rsidRPr="00E52B87">
        <w:rPr>
          <w:rStyle w:val="Heading2Char"/>
          <w:b/>
          <w:color w:val="auto"/>
        </w:rPr>
        <w:t>Option B</w:t>
      </w:r>
      <w:bookmarkEnd w:id="3"/>
      <w:r w:rsidR="00E756DF">
        <w:rPr>
          <w:rStyle w:val="Heading2Char"/>
          <w:b/>
          <w:color w:val="auto"/>
        </w:rPr>
        <w:t>: Reproduce part of the content from the RACGP/NACCHO national guide, removing references to trichiasis and trachoma)</w:t>
      </w:r>
    </w:p>
    <w:p w14:paraId="4F8FF77F" w14:textId="77777777" w:rsidR="00E756DF" w:rsidRPr="00E52B87" w:rsidRDefault="00E756DF" w:rsidP="00E756DF">
      <w:pPr>
        <w:pStyle w:val="Heading1"/>
        <w:rPr>
          <w:rFonts w:ascii="Arial" w:hAnsi="Arial"/>
          <w:color w:val="auto"/>
          <w:sz w:val="22"/>
          <w:szCs w:val="20"/>
        </w:rPr>
      </w:pPr>
      <w:r w:rsidRPr="00E756DF">
        <w:rPr>
          <w:rFonts w:ascii="Arial" w:hAnsi="Arial"/>
          <w:b w:val="0"/>
          <w:color w:val="auto"/>
          <w:sz w:val="22"/>
          <w:szCs w:val="20"/>
        </w:rPr>
        <w:t xml:space="preserve">(source:  </w:t>
      </w:r>
      <w:hyperlink r:id="rId21" w:history="1">
        <w:r w:rsidRPr="00E756DF">
          <w:rPr>
            <w:rStyle w:val="Hyperlink"/>
            <w:rFonts w:ascii="Arial" w:hAnsi="Arial"/>
            <w:b w:val="0"/>
            <w:sz w:val="22"/>
            <w:szCs w:val="20"/>
          </w:rPr>
          <w:t>RACGP/NACCHO National guide to a preventive health assessment for Aboriginal and Torres Strait Islander people</w:t>
        </w:r>
      </w:hyperlink>
      <w:r w:rsidRPr="00E756DF">
        <w:rPr>
          <w:rFonts w:ascii="Arial" w:hAnsi="Arial"/>
          <w:b w:val="0"/>
          <w:sz w:val="22"/>
          <w:szCs w:val="20"/>
        </w:rPr>
        <w:t xml:space="preserve"> </w:t>
      </w:r>
      <w:r w:rsidRPr="00E756DF">
        <w:rPr>
          <w:rFonts w:ascii="Arial" w:hAnsi="Arial"/>
          <w:b w:val="0"/>
          <w:color w:val="auto"/>
          <w:sz w:val="22"/>
          <w:szCs w:val="20"/>
        </w:rPr>
        <w:t>Chapter 6, p</w:t>
      </w:r>
      <w:r>
        <w:rPr>
          <w:rFonts w:ascii="Arial" w:hAnsi="Arial"/>
          <w:b w:val="0"/>
          <w:color w:val="auto"/>
          <w:sz w:val="22"/>
          <w:szCs w:val="20"/>
        </w:rPr>
        <w:t>6</w:t>
      </w:r>
      <w:r w:rsidRPr="00E756DF">
        <w:rPr>
          <w:rFonts w:ascii="Arial" w:hAnsi="Arial"/>
          <w:b w:val="0"/>
          <w:color w:val="auto"/>
          <w:sz w:val="22"/>
          <w:szCs w:val="20"/>
        </w:rPr>
        <w:t>6)</w:t>
      </w:r>
    </w:p>
    <w:p w14:paraId="6116B3FA" w14:textId="77777777" w:rsidR="000544F1" w:rsidRDefault="006F4D67" w:rsidP="001B2F09">
      <w:pPr>
        <w:pStyle w:val="BodyText"/>
        <w:rPr>
          <w:highlight w:val="yellow"/>
        </w:rPr>
        <w:sectPr w:rsidR="000544F1" w:rsidSect="00E52B87">
          <w:headerReference w:type="default" r:id="rId22"/>
          <w:footerReference w:type="default" r:id="rId23"/>
          <w:footerReference w:type="first" r:id="rId24"/>
          <w:pgSz w:w="11906" w:h="16838" w:code="9"/>
          <w:pgMar w:top="720" w:right="720" w:bottom="720" w:left="720" w:header="567" w:footer="567" w:gutter="0"/>
          <w:cols w:space="708"/>
          <w:titlePg/>
          <w:docGrid w:linePitch="360"/>
        </w:sectPr>
      </w:pPr>
      <w:r w:rsidRPr="000544F1">
        <w:rPr>
          <w:noProof/>
        </w:rPr>
        <w:drawing>
          <wp:inline distT="0" distB="0" distL="0" distR="0" wp14:anchorId="6AE9832C" wp14:editId="1B5A2347">
            <wp:extent cx="6556443" cy="762090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562608" cy="7628071"/>
                    </a:xfrm>
                    <a:prstGeom prst="rect">
                      <a:avLst/>
                    </a:prstGeom>
                  </pic:spPr>
                </pic:pic>
              </a:graphicData>
            </a:graphic>
          </wp:inline>
        </w:drawing>
      </w:r>
    </w:p>
    <w:p w14:paraId="3F036CCA" w14:textId="77777777" w:rsidR="00E55111" w:rsidRPr="007A7452" w:rsidRDefault="00E55111" w:rsidP="001B2F09">
      <w:pPr>
        <w:pStyle w:val="BodyText"/>
        <w:rPr>
          <w:highlight w:val="yellow"/>
        </w:rPr>
      </w:pPr>
    </w:p>
    <w:p w14:paraId="01715B9A" w14:textId="77777777" w:rsidR="00E52B87" w:rsidRPr="00E52B87" w:rsidRDefault="001B2F09" w:rsidP="00FD3971">
      <w:pPr>
        <w:pStyle w:val="Heading2"/>
        <w:rPr>
          <w:color w:val="auto"/>
        </w:rPr>
      </w:pPr>
      <w:bookmarkStart w:id="4" w:name="_Ref54958104"/>
      <w:r w:rsidRPr="00E52B87">
        <w:rPr>
          <w:color w:val="auto"/>
        </w:rPr>
        <w:t>Option C</w:t>
      </w:r>
      <w:bookmarkEnd w:id="4"/>
      <w:r w:rsidR="00E756DF">
        <w:rPr>
          <w:color w:val="auto"/>
        </w:rPr>
        <w:t>: Tailored changes to existing Red Book content</w:t>
      </w:r>
    </w:p>
    <w:p w14:paraId="74D3CABB" w14:textId="77777777" w:rsidR="001B2F09" w:rsidRPr="000C7844" w:rsidRDefault="00E756DF" w:rsidP="00FD3971">
      <w:pPr>
        <w:pStyle w:val="Heading2"/>
        <w:rPr>
          <w:b w:val="0"/>
          <w:color w:val="auto"/>
          <w:sz w:val="22"/>
        </w:rPr>
      </w:pPr>
      <w:r>
        <w:rPr>
          <w:b w:val="0"/>
          <w:color w:val="auto"/>
          <w:sz w:val="22"/>
        </w:rPr>
        <w:t xml:space="preserve">(based off current RACGP Red Book content, with suggested changes </w:t>
      </w:r>
      <w:r w:rsidR="00127140">
        <w:rPr>
          <w:b w:val="0"/>
          <w:color w:val="auto"/>
          <w:sz w:val="22"/>
        </w:rPr>
        <w:t xml:space="preserve">to content or wording is </w:t>
      </w:r>
      <w:r>
        <w:rPr>
          <w:b w:val="0"/>
          <w:color w:val="auto"/>
          <w:sz w:val="22"/>
        </w:rPr>
        <w:t>highlighted in yellow)</w:t>
      </w:r>
    </w:p>
    <w:tbl>
      <w:tblPr>
        <w:tblStyle w:val="GridTable1Light-Accent3"/>
        <w:tblW w:w="10201" w:type="dxa"/>
        <w:tblLayout w:type="fixed"/>
        <w:tblLook w:val="04A0" w:firstRow="1" w:lastRow="0" w:firstColumn="1" w:lastColumn="0" w:noHBand="0" w:noVBand="1"/>
      </w:tblPr>
      <w:tblGrid>
        <w:gridCol w:w="2689"/>
        <w:gridCol w:w="1417"/>
        <w:gridCol w:w="4820"/>
        <w:gridCol w:w="1275"/>
      </w:tblGrid>
      <w:tr w:rsidR="00E756DF" w:rsidRPr="00E756DF" w14:paraId="0C36AAB4" w14:textId="77777777" w:rsidTr="001150B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shd w:val="clear" w:color="auto" w:fill="32619D" w:themeFill="accent3"/>
          </w:tcPr>
          <w:p w14:paraId="7C155314" w14:textId="77777777" w:rsidR="000C7844" w:rsidRPr="00E756DF" w:rsidRDefault="000C7844" w:rsidP="00E756DF">
            <w:pPr>
              <w:pStyle w:val="BodyText"/>
              <w:spacing w:before="0" w:after="0"/>
              <w:rPr>
                <w:color w:val="FFFFFF" w:themeColor="background1"/>
                <w:sz w:val="20"/>
                <w:szCs w:val="20"/>
              </w:rPr>
            </w:pPr>
            <w:r w:rsidRPr="00E756DF">
              <w:rPr>
                <w:color w:val="FFFFFF" w:themeColor="background1"/>
                <w:sz w:val="20"/>
                <w:szCs w:val="20"/>
              </w:rPr>
              <w:t>Red Book Chapter</w:t>
            </w:r>
          </w:p>
        </w:tc>
        <w:tc>
          <w:tcPr>
            <w:tcW w:w="1417"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shd w:val="clear" w:color="auto" w:fill="32619D" w:themeFill="accent3"/>
          </w:tcPr>
          <w:p w14:paraId="59212844" w14:textId="77777777" w:rsidR="000C7844" w:rsidRPr="00E756DF" w:rsidRDefault="000C7844" w:rsidP="00E756DF">
            <w:pPr>
              <w:pStyle w:val="BodyText"/>
              <w:spacing w:before="0" w:after="0"/>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E756DF">
              <w:rPr>
                <w:color w:val="FFFFFF" w:themeColor="background1"/>
                <w:sz w:val="20"/>
                <w:szCs w:val="20"/>
              </w:rPr>
              <w:t>Age</w:t>
            </w:r>
          </w:p>
        </w:tc>
        <w:tc>
          <w:tcPr>
            <w:tcW w:w="4820"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shd w:val="clear" w:color="auto" w:fill="32619D" w:themeFill="accent3"/>
          </w:tcPr>
          <w:p w14:paraId="6812983C" w14:textId="77777777" w:rsidR="000C7844" w:rsidRPr="00E756DF" w:rsidRDefault="000C7844" w:rsidP="00E756DF">
            <w:pPr>
              <w:pStyle w:val="BodyText"/>
              <w:spacing w:before="0" w:after="0"/>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E756DF">
              <w:rPr>
                <w:color w:val="FFFFFF" w:themeColor="background1"/>
                <w:sz w:val="20"/>
                <w:szCs w:val="20"/>
              </w:rPr>
              <w:t>What should be done?</w:t>
            </w:r>
          </w:p>
        </w:tc>
        <w:tc>
          <w:tcPr>
            <w:tcW w:w="1275"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shd w:val="clear" w:color="auto" w:fill="32619D" w:themeFill="accent3"/>
          </w:tcPr>
          <w:p w14:paraId="2C672657" w14:textId="77777777" w:rsidR="000C7844" w:rsidRPr="00E756DF" w:rsidRDefault="00E53B34" w:rsidP="00E756DF">
            <w:pPr>
              <w:pStyle w:val="BodyText"/>
              <w:spacing w:before="0" w:after="0"/>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E756DF">
              <w:rPr>
                <w:color w:val="FFFFFF" w:themeColor="background1"/>
                <w:sz w:val="18"/>
                <w:szCs w:val="18"/>
              </w:rPr>
              <w:t>References</w:t>
            </w:r>
            <w:r w:rsidRPr="00E756DF">
              <w:rPr>
                <w:color w:val="FFFFFF" w:themeColor="background1"/>
                <w:sz w:val="20"/>
                <w:szCs w:val="20"/>
              </w:rPr>
              <w:t xml:space="preserve"> </w:t>
            </w:r>
            <w:r w:rsidRPr="00E756DF">
              <w:rPr>
                <w:b w:val="0"/>
                <w:color w:val="FFFFFF" w:themeColor="background1"/>
                <w:sz w:val="16"/>
                <w:szCs w:val="16"/>
              </w:rPr>
              <w:t>(</w:t>
            </w:r>
            <w:r w:rsidR="000714F9" w:rsidRPr="00E756DF">
              <w:rPr>
                <w:b w:val="0"/>
                <w:color w:val="FFFFFF" w:themeColor="background1"/>
                <w:sz w:val="16"/>
                <w:szCs w:val="16"/>
              </w:rPr>
              <w:t>in</w:t>
            </w:r>
            <w:r w:rsidR="00033E80" w:rsidRPr="00E756DF">
              <w:rPr>
                <w:b w:val="0"/>
                <w:color w:val="FFFFFF" w:themeColor="background1"/>
                <w:sz w:val="16"/>
                <w:szCs w:val="16"/>
              </w:rPr>
              <w:t xml:space="preserve">  Att</w:t>
            </w:r>
            <w:r w:rsidR="00E756DF" w:rsidRPr="00E756DF">
              <w:rPr>
                <w:b w:val="0"/>
                <w:color w:val="FFFFFF" w:themeColor="background1"/>
                <w:sz w:val="16"/>
                <w:szCs w:val="16"/>
              </w:rPr>
              <w:t xml:space="preserve"> </w:t>
            </w:r>
            <w:r w:rsidR="00033E80" w:rsidRPr="00E756DF">
              <w:rPr>
                <w:b w:val="0"/>
                <w:color w:val="FFFFFF" w:themeColor="background1"/>
                <w:sz w:val="16"/>
                <w:szCs w:val="16"/>
              </w:rPr>
              <w:t>2</w:t>
            </w:r>
            <w:r w:rsidR="00033E80" w:rsidRPr="00E756DF">
              <w:rPr>
                <w:b w:val="0"/>
                <w:color w:val="FFFFFF" w:themeColor="background1"/>
                <w:sz w:val="20"/>
                <w:szCs w:val="20"/>
              </w:rPr>
              <w:t>)</w:t>
            </w:r>
          </w:p>
        </w:tc>
      </w:tr>
      <w:tr w:rsidR="000C7844" w14:paraId="3024A330" w14:textId="77777777" w:rsidTr="001150BC">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283F7FBA" w14:textId="77777777" w:rsidR="00E53B34" w:rsidRPr="001C38CC" w:rsidRDefault="000C7844" w:rsidP="000C7844">
            <w:pPr>
              <w:pStyle w:val="BodyText"/>
              <w:rPr>
                <w:rFonts w:asciiTheme="majorHAnsi" w:hAnsiTheme="majorHAnsi" w:cstheme="majorHAnsi"/>
                <w:bCs w:val="0"/>
                <w:sz w:val="20"/>
                <w:szCs w:val="20"/>
              </w:rPr>
            </w:pPr>
            <w:r w:rsidRPr="001C38CC">
              <w:rPr>
                <w:rFonts w:asciiTheme="majorHAnsi" w:hAnsiTheme="majorHAnsi" w:cstheme="majorHAnsi"/>
                <w:sz w:val="20"/>
                <w:szCs w:val="20"/>
              </w:rPr>
              <w:t>Chapter 3: Preventive activities in children and young people</w:t>
            </w:r>
            <w:r w:rsidR="00E756DF">
              <w:rPr>
                <w:rStyle w:val="FootnoteReference"/>
                <w:rFonts w:asciiTheme="majorHAnsi" w:hAnsiTheme="majorHAnsi" w:cstheme="majorHAnsi"/>
                <w:sz w:val="20"/>
                <w:szCs w:val="20"/>
              </w:rPr>
              <w:footnoteReference w:id="1"/>
            </w:r>
            <w:r w:rsidR="002C6FE0" w:rsidRPr="001C38CC">
              <w:rPr>
                <w:rFonts w:asciiTheme="majorHAnsi" w:hAnsiTheme="majorHAnsi" w:cstheme="majorHAnsi"/>
                <w:sz w:val="20"/>
                <w:szCs w:val="20"/>
              </w:rPr>
              <w:t xml:space="preserve"> (p</w:t>
            </w:r>
            <w:r w:rsidR="001C38CC">
              <w:rPr>
                <w:rFonts w:asciiTheme="majorHAnsi" w:hAnsiTheme="majorHAnsi" w:cstheme="majorHAnsi"/>
                <w:sz w:val="20"/>
                <w:szCs w:val="20"/>
              </w:rPr>
              <w:t xml:space="preserve">age </w:t>
            </w:r>
            <w:r w:rsidR="002C6FE0" w:rsidRPr="001C38CC">
              <w:rPr>
                <w:rFonts w:asciiTheme="majorHAnsi" w:hAnsiTheme="majorHAnsi" w:cstheme="majorHAnsi"/>
                <w:sz w:val="20"/>
                <w:szCs w:val="20"/>
              </w:rPr>
              <w:t xml:space="preserve">33). </w:t>
            </w:r>
          </w:p>
          <w:p w14:paraId="2713CF39" w14:textId="77777777" w:rsidR="001C38CC" w:rsidRDefault="001C38CC" w:rsidP="000C7844">
            <w:pPr>
              <w:pStyle w:val="BodyText"/>
              <w:rPr>
                <w:rFonts w:asciiTheme="majorHAnsi" w:hAnsiTheme="majorHAnsi" w:cstheme="majorHAnsi"/>
                <w:b w:val="0"/>
                <w:bCs w:val="0"/>
                <w:sz w:val="20"/>
                <w:szCs w:val="20"/>
              </w:rPr>
            </w:pPr>
          </w:p>
          <w:p w14:paraId="3E019094" w14:textId="77777777" w:rsidR="000C7844" w:rsidRPr="00E53B34" w:rsidRDefault="002C6FE0" w:rsidP="000C7844">
            <w:pPr>
              <w:pStyle w:val="BodyText"/>
              <w:rPr>
                <w:rFonts w:asciiTheme="majorHAnsi" w:hAnsiTheme="majorHAnsi" w:cstheme="majorHAnsi"/>
                <w:sz w:val="20"/>
                <w:szCs w:val="20"/>
              </w:rPr>
            </w:pPr>
            <w:r w:rsidRPr="001C38CC">
              <w:rPr>
                <w:rFonts w:asciiTheme="majorHAnsi" w:hAnsiTheme="majorHAnsi" w:cstheme="majorHAnsi"/>
                <w:sz w:val="20"/>
                <w:szCs w:val="20"/>
              </w:rPr>
              <w:t>Table 3.1. Age-related health checks in children and young people</w:t>
            </w:r>
          </w:p>
        </w:tc>
        <w:tc>
          <w:tcPr>
            <w:tcW w:w="1417"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5D14538F" w14:textId="77777777" w:rsidR="000C7844" w:rsidRPr="00E53B34" w:rsidRDefault="002C6FE0" w:rsidP="002C6FE0">
            <w:pPr>
              <w:spacing w:after="5"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E53B34">
              <w:rPr>
                <w:rFonts w:asciiTheme="majorHAnsi" w:hAnsiTheme="majorHAnsi" w:cstheme="majorHAnsi"/>
                <w:sz w:val="20"/>
                <w:szCs w:val="20"/>
              </w:rPr>
              <w:t>2, 4, 6, 12 and 18 months; and 3 years</w:t>
            </w:r>
          </w:p>
        </w:tc>
        <w:tc>
          <w:tcPr>
            <w:tcW w:w="4820"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6FD66DF6" w14:textId="77777777" w:rsidR="000C7844" w:rsidRDefault="002C6FE0" w:rsidP="002C6FE0">
            <w:pPr>
              <w:spacing w:after="28" w:line="26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1B0606">
              <w:rPr>
                <w:rFonts w:asciiTheme="majorHAnsi" w:hAnsiTheme="majorHAnsi" w:cstheme="majorHAnsi"/>
                <w:sz w:val="20"/>
                <w:szCs w:val="20"/>
                <w:highlight w:val="yellow"/>
              </w:rPr>
              <w:t>Conduct a general eye examination. Refer to an ophthalmologist if the red reflex is absent or any other abnormality is found.</w:t>
            </w:r>
            <w:r w:rsidRPr="001B0606">
              <w:rPr>
                <w:rFonts w:asciiTheme="majorHAnsi" w:hAnsiTheme="majorHAnsi" w:cstheme="majorHAnsi"/>
                <w:i/>
                <w:sz w:val="20"/>
                <w:szCs w:val="20"/>
                <w:highlight w:val="yellow"/>
              </w:rPr>
              <w:t xml:space="preserve"> </w:t>
            </w:r>
            <w:r w:rsidRPr="001B0606">
              <w:rPr>
                <w:rFonts w:asciiTheme="majorHAnsi" w:hAnsiTheme="majorHAnsi" w:cstheme="majorHAnsi"/>
                <w:sz w:val="20"/>
                <w:szCs w:val="20"/>
                <w:highlight w:val="yellow"/>
              </w:rPr>
              <w:t>Before three months of age and again between three and six months of age</w:t>
            </w:r>
            <w:r w:rsidRPr="00E53B34">
              <w:rPr>
                <w:rFonts w:asciiTheme="majorHAnsi" w:hAnsiTheme="majorHAnsi" w:cstheme="majorHAnsi"/>
                <w:sz w:val="20"/>
                <w:szCs w:val="20"/>
              </w:rPr>
              <w:t>.</w:t>
            </w:r>
          </w:p>
          <w:p w14:paraId="10456E7B" w14:textId="77777777" w:rsidR="005243E7" w:rsidRPr="005243E7" w:rsidRDefault="005243E7" w:rsidP="00E756DF">
            <w:pPr>
              <w:spacing w:after="28" w:line="26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20"/>
                <w:szCs w:val="20"/>
              </w:rPr>
            </w:pPr>
          </w:p>
        </w:tc>
        <w:tc>
          <w:tcPr>
            <w:tcW w:w="1275"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52AC1EC1" w14:textId="77777777" w:rsidR="000C7844" w:rsidRPr="00E53B34" w:rsidRDefault="00033E80" w:rsidP="000C7844">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E53B34">
              <w:rPr>
                <w:rFonts w:asciiTheme="majorHAnsi" w:hAnsiTheme="majorHAnsi" w:cstheme="majorHAnsi"/>
                <w:sz w:val="20"/>
                <w:szCs w:val="20"/>
              </w:rPr>
              <w:t xml:space="preserve">15, </w:t>
            </w:r>
            <w:r w:rsidR="002D4059" w:rsidRPr="00E53B34">
              <w:rPr>
                <w:rFonts w:asciiTheme="majorHAnsi" w:hAnsiTheme="majorHAnsi" w:cstheme="majorHAnsi"/>
                <w:sz w:val="20"/>
                <w:szCs w:val="20"/>
              </w:rPr>
              <w:t>16, 17</w:t>
            </w:r>
          </w:p>
        </w:tc>
      </w:tr>
      <w:tr w:rsidR="000C7844" w14:paraId="30664101" w14:textId="77777777" w:rsidTr="001150BC">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08953073" w14:textId="77777777" w:rsidR="000C7844" w:rsidRPr="00E53B34" w:rsidRDefault="000C7844" w:rsidP="000C7844">
            <w:pPr>
              <w:pStyle w:val="BodyText"/>
              <w:rPr>
                <w:rFonts w:asciiTheme="majorHAnsi" w:hAnsiTheme="majorHAnsi" w:cstheme="majorHAnsi"/>
                <w:sz w:val="20"/>
                <w:szCs w:val="20"/>
              </w:rPr>
            </w:pPr>
          </w:p>
        </w:tc>
        <w:tc>
          <w:tcPr>
            <w:tcW w:w="1417"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5E704E3E" w14:textId="77777777" w:rsidR="000C7844" w:rsidRPr="00E53B34" w:rsidRDefault="002C6FE0" w:rsidP="000C7844">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E53B34">
              <w:rPr>
                <w:rFonts w:asciiTheme="majorHAnsi" w:hAnsiTheme="majorHAnsi" w:cstheme="majorHAnsi"/>
                <w:sz w:val="20"/>
                <w:szCs w:val="20"/>
              </w:rPr>
              <w:t>3.5</w:t>
            </w:r>
            <w:r w:rsidR="003A2F67">
              <w:rPr>
                <w:rFonts w:asciiTheme="majorHAnsi" w:hAnsiTheme="majorHAnsi" w:cstheme="majorHAnsi"/>
                <w:sz w:val="20"/>
                <w:szCs w:val="20"/>
              </w:rPr>
              <w:t>-</w:t>
            </w:r>
            <w:r w:rsidRPr="00E53B34">
              <w:rPr>
                <w:rFonts w:asciiTheme="majorHAnsi" w:hAnsiTheme="majorHAnsi" w:cstheme="majorHAnsi"/>
                <w:sz w:val="20"/>
                <w:szCs w:val="20"/>
              </w:rPr>
              <w:t>5 years</w:t>
            </w:r>
          </w:p>
        </w:tc>
        <w:tc>
          <w:tcPr>
            <w:tcW w:w="4820"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15768FA5" w14:textId="77777777" w:rsidR="002C6FE0" w:rsidRPr="00E53B34" w:rsidRDefault="002C6FE0" w:rsidP="002C6FE0">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3A2F67">
              <w:rPr>
                <w:rFonts w:asciiTheme="majorHAnsi" w:hAnsiTheme="majorHAnsi" w:cstheme="majorHAnsi"/>
                <w:sz w:val="20"/>
                <w:szCs w:val="20"/>
                <w:highlight w:val="yellow"/>
              </w:rPr>
              <w:t xml:space="preserve">Check vision </w:t>
            </w:r>
            <w:r w:rsidR="0095451D" w:rsidRPr="003A2F67">
              <w:rPr>
                <w:rFonts w:asciiTheme="majorHAnsi" w:hAnsiTheme="majorHAnsi" w:cstheme="majorHAnsi"/>
                <w:sz w:val="20"/>
                <w:szCs w:val="20"/>
                <w:highlight w:val="yellow"/>
              </w:rPr>
              <w:t>a</w:t>
            </w:r>
            <w:r w:rsidRPr="003A2F67">
              <w:rPr>
                <w:rFonts w:asciiTheme="majorHAnsi" w:hAnsiTheme="majorHAnsi" w:cstheme="majorHAnsi"/>
                <w:sz w:val="20"/>
                <w:szCs w:val="20"/>
                <w:highlight w:val="yellow"/>
              </w:rPr>
              <w:t>s part of a routine health assessment at or before school entry</w:t>
            </w:r>
          </w:p>
          <w:p w14:paraId="00716EBC" w14:textId="77777777" w:rsidR="005243E7" w:rsidRPr="001B0606" w:rsidRDefault="002C6FE0" w:rsidP="00D46048">
            <w:pPr>
              <w:spacing w:after="28" w:line="26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E53B34">
              <w:rPr>
                <w:rFonts w:asciiTheme="majorHAnsi" w:hAnsiTheme="majorHAnsi" w:cstheme="majorHAnsi"/>
                <w:sz w:val="20"/>
                <w:szCs w:val="20"/>
              </w:rPr>
              <w:t>Refer</w:t>
            </w:r>
            <w:r w:rsidR="00D46048">
              <w:rPr>
                <w:rFonts w:asciiTheme="majorHAnsi" w:hAnsiTheme="majorHAnsi" w:cstheme="majorHAnsi"/>
                <w:sz w:val="20"/>
                <w:szCs w:val="20"/>
              </w:rPr>
              <w:t xml:space="preserve"> </w:t>
            </w:r>
            <w:r w:rsidR="00D46048" w:rsidRPr="00D46048">
              <w:rPr>
                <w:rFonts w:asciiTheme="majorHAnsi" w:hAnsiTheme="majorHAnsi" w:cstheme="majorHAnsi"/>
                <w:sz w:val="20"/>
                <w:szCs w:val="20"/>
                <w:highlight w:val="yellow"/>
              </w:rPr>
              <w:t xml:space="preserve">to optometrist and/or </w:t>
            </w:r>
            <w:r w:rsidR="00D46048" w:rsidRPr="005A7E5E">
              <w:rPr>
                <w:rFonts w:asciiTheme="majorHAnsi" w:hAnsiTheme="majorHAnsi" w:cstheme="majorHAnsi"/>
                <w:sz w:val="20"/>
                <w:szCs w:val="20"/>
                <w:highlight w:val="yellow"/>
              </w:rPr>
              <w:t>ophthalmologist</w:t>
            </w:r>
            <w:r w:rsidRPr="005A7E5E">
              <w:rPr>
                <w:rFonts w:asciiTheme="majorHAnsi" w:hAnsiTheme="majorHAnsi" w:cstheme="majorHAnsi"/>
                <w:sz w:val="20"/>
                <w:szCs w:val="20"/>
                <w:highlight w:val="yellow"/>
              </w:rPr>
              <w:t xml:space="preserve"> if visual acuity is less than 6/9 in either eye</w:t>
            </w:r>
            <w:r w:rsidRPr="00E53B34">
              <w:rPr>
                <w:rFonts w:asciiTheme="majorHAnsi" w:hAnsiTheme="majorHAnsi" w:cstheme="majorHAnsi"/>
                <w:sz w:val="20"/>
                <w:szCs w:val="20"/>
              </w:rPr>
              <w:t xml:space="preserve"> </w:t>
            </w:r>
          </w:p>
        </w:tc>
        <w:tc>
          <w:tcPr>
            <w:tcW w:w="1275"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1AB1C1D8" w14:textId="77777777" w:rsidR="000C7844" w:rsidRPr="00E53B34" w:rsidRDefault="002D4059" w:rsidP="000C7844">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E53B34">
              <w:rPr>
                <w:rFonts w:asciiTheme="majorHAnsi" w:hAnsiTheme="majorHAnsi" w:cstheme="majorHAnsi"/>
                <w:sz w:val="20"/>
                <w:szCs w:val="20"/>
              </w:rPr>
              <w:t>15</w:t>
            </w:r>
          </w:p>
        </w:tc>
      </w:tr>
      <w:tr w:rsidR="003A2F67" w14:paraId="2DE01924" w14:textId="77777777" w:rsidTr="001150BC">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5DD897EB" w14:textId="77777777" w:rsidR="003A2F67" w:rsidRPr="00E53B34" w:rsidRDefault="003A2F67" w:rsidP="000C7844">
            <w:pPr>
              <w:pStyle w:val="BodyText"/>
              <w:rPr>
                <w:rFonts w:asciiTheme="majorHAnsi" w:hAnsiTheme="majorHAnsi" w:cstheme="majorHAnsi"/>
                <w:sz w:val="20"/>
                <w:szCs w:val="20"/>
              </w:rPr>
            </w:pPr>
          </w:p>
        </w:tc>
        <w:tc>
          <w:tcPr>
            <w:tcW w:w="1417"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5948FEAE" w14:textId="77777777" w:rsidR="003A2F67" w:rsidRPr="00E53B34" w:rsidRDefault="003A2F67" w:rsidP="000C7844">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Pr>
                <w:rFonts w:asciiTheme="majorHAnsi" w:hAnsiTheme="majorHAnsi" w:cstheme="majorHAnsi"/>
                <w:sz w:val="20"/>
                <w:szCs w:val="20"/>
              </w:rPr>
              <w:t>6-13 years</w:t>
            </w:r>
          </w:p>
        </w:tc>
        <w:tc>
          <w:tcPr>
            <w:tcW w:w="4820"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605F355F" w14:textId="77777777" w:rsidR="003A2F67" w:rsidRPr="00E53B34" w:rsidRDefault="003A2F67" w:rsidP="003A2F67">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3A2F67">
              <w:rPr>
                <w:rFonts w:asciiTheme="majorHAnsi" w:hAnsiTheme="majorHAnsi" w:cstheme="majorHAnsi"/>
                <w:sz w:val="20"/>
                <w:szCs w:val="20"/>
                <w:highlight w:val="yellow"/>
              </w:rPr>
              <w:t>Check vision as part of a routine health assessment</w:t>
            </w:r>
            <w:r w:rsidRPr="00E53B34">
              <w:rPr>
                <w:rFonts w:asciiTheme="majorHAnsi" w:hAnsiTheme="majorHAnsi" w:cstheme="majorHAnsi"/>
                <w:sz w:val="20"/>
                <w:szCs w:val="20"/>
              </w:rPr>
              <w:t xml:space="preserve"> </w:t>
            </w:r>
          </w:p>
          <w:p w14:paraId="3F8F6763" w14:textId="77777777" w:rsidR="003A2F67" w:rsidRPr="00E53B34" w:rsidRDefault="003A2F67" w:rsidP="003A2F67">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3A2F67">
              <w:rPr>
                <w:rFonts w:asciiTheme="majorHAnsi" w:hAnsiTheme="majorHAnsi" w:cstheme="majorHAnsi"/>
                <w:sz w:val="20"/>
                <w:szCs w:val="20"/>
                <w:highlight w:val="yellow"/>
              </w:rPr>
              <w:t xml:space="preserve">Refer to </w:t>
            </w:r>
            <w:r w:rsidRPr="00D46048">
              <w:rPr>
                <w:rFonts w:asciiTheme="majorHAnsi" w:hAnsiTheme="majorHAnsi" w:cstheme="majorHAnsi"/>
                <w:sz w:val="20"/>
                <w:szCs w:val="20"/>
                <w:highlight w:val="yellow"/>
              </w:rPr>
              <w:t xml:space="preserve">optometrist and/or </w:t>
            </w:r>
            <w:r w:rsidRPr="005A7E5E">
              <w:rPr>
                <w:rFonts w:asciiTheme="majorHAnsi" w:hAnsiTheme="majorHAnsi" w:cstheme="majorHAnsi"/>
                <w:sz w:val="20"/>
                <w:szCs w:val="20"/>
                <w:highlight w:val="yellow"/>
              </w:rPr>
              <w:t>ophthalmologist if visual acuity is less than 6/9 in either eye</w:t>
            </w:r>
          </w:p>
        </w:tc>
        <w:tc>
          <w:tcPr>
            <w:tcW w:w="1275"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7B7E0DB0" w14:textId="77777777" w:rsidR="003A2F67" w:rsidRPr="00E53B34" w:rsidRDefault="003A2F67" w:rsidP="000C7844">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r>
      <w:tr w:rsidR="000C7844" w14:paraId="433CFFAB" w14:textId="77777777" w:rsidTr="001150BC">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09314BD4" w14:textId="77777777" w:rsidR="000C7844" w:rsidRPr="00E53B34" w:rsidRDefault="000C7844" w:rsidP="000C7844">
            <w:pPr>
              <w:pStyle w:val="BodyText"/>
              <w:rPr>
                <w:rFonts w:asciiTheme="majorHAnsi" w:hAnsiTheme="majorHAnsi" w:cstheme="majorHAnsi"/>
                <w:sz w:val="20"/>
                <w:szCs w:val="20"/>
              </w:rPr>
            </w:pPr>
          </w:p>
        </w:tc>
        <w:tc>
          <w:tcPr>
            <w:tcW w:w="1417"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4336BE03" w14:textId="77777777" w:rsidR="000C7844" w:rsidRPr="00E53B34" w:rsidRDefault="001C38CC" w:rsidP="000C7844">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Pr>
                <w:rFonts w:asciiTheme="majorHAnsi" w:hAnsiTheme="majorHAnsi" w:cstheme="majorHAnsi"/>
                <w:sz w:val="20"/>
                <w:szCs w:val="20"/>
              </w:rPr>
              <w:t>14-19 years</w:t>
            </w:r>
          </w:p>
        </w:tc>
        <w:tc>
          <w:tcPr>
            <w:tcW w:w="4820"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26244332" w14:textId="77777777" w:rsidR="0095451D" w:rsidRPr="001B0606" w:rsidRDefault="0095451D" w:rsidP="0095451D">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highlight w:val="yellow"/>
              </w:rPr>
            </w:pPr>
            <w:r w:rsidRPr="001B0606">
              <w:rPr>
                <w:rFonts w:asciiTheme="majorHAnsi" w:hAnsiTheme="majorHAnsi" w:cstheme="majorHAnsi"/>
                <w:sz w:val="20"/>
                <w:szCs w:val="20"/>
                <w:highlight w:val="yellow"/>
              </w:rPr>
              <w:t>Ask about vision. Complete an eye examination and test visual acuity if any problems are identified.</w:t>
            </w:r>
          </w:p>
          <w:p w14:paraId="5832A14A" w14:textId="77777777" w:rsidR="005243E7" w:rsidRPr="001B0606" w:rsidRDefault="0095451D" w:rsidP="001B0606">
            <w:pPr>
              <w:spacing w:after="34"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1B0606">
              <w:rPr>
                <w:rFonts w:asciiTheme="majorHAnsi" w:hAnsiTheme="majorHAnsi" w:cstheme="majorHAnsi"/>
                <w:sz w:val="20"/>
                <w:szCs w:val="20"/>
                <w:highlight w:val="yellow"/>
              </w:rPr>
              <w:t>Refer to optometrist and/or ophthalmologist if problems reported or identified.</w:t>
            </w:r>
          </w:p>
        </w:tc>
        <w:tc>
          <w:tcPr>
            <w:tcW w:w="1275"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296282B4" w14:textId="77777777" w:rsidR="000C7844" w:rsidRPr="00E53B34" w:rsidRDefault="000C7844" w:rsidP="000C7844">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r>
      <w:tr w:rsidR="000C7844" w14:paraId="3372352A" w14:textId="77777777" w:rsidTr="001150BC">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16291984" w14:textId="77777777" w:rsidR="000C7844" w:rsidRPr="00E53B34" w:rsidRDefault="0095451D" w:rsidP="000C7844">
            <w:pPr>
              <w:pStyle w:val="BodyText"/>
              <w:rPr>
                <w:rFonts w:asciiTheme="majorHAnsi" w:hAnsiTheme="majorHAnsi" w:cstheme="majorHAnsi"/>
                <w:sz w:val="20"/>
                <w:szCs w:val="20"/>
              </w:rPr>
            </w:pPr>
            <w:r w:rsidRPr="00E53B34">
              <w:rPr>
                <w:rFonts w:asciiTheme="majorHAnsi" w:hAnsiTheme="majorHAnsi" w:cstheme="majorHAnsi"/>
                <w:sz w:val="20"/>
                <w:szCs w:val="20"/>
              </w:rPr>
              <w:t xml:space="preserve">Chapter 4: </w:t>
            </w:r>
            <w:r w:rsidR="004439C9" w:rsidRPr="00E53B34">
              <w:rPr>
                <w:rFonts w:asciiTheme="majorHAnsi" w:hAnsiTheme="majorHAnsi" w:cstheme="majorHAnsi"/>
                <w:sz w:val="20"/>
                <w:szCs w:val="20"/>
              </w:rPr>
              <w:t>Preventive activities in middle age (p</w:t>
            </w:r>
            <w:r w:rsidR="001C38CC">
              <w:rPr>
                <w:rFonts w:asciiTheme="majorHAnsi" w:hAnsiTheme="majorHAnsi" w:cstheme="majorHAnsi"/>
                <w:sz w:val="20"/>
                <w:szCs w:val="20"/>
              </w:rPr>
              <w:t xml:space="preserve">age </w:t>
            </w:r>
            <w:r w:rsidR="004439C9" w:rsidRPr="00E53B34">
              <w:rPr>
                <w:rFonts w:asciiTheme="majorHAnsi" w:hAnsiTheme="majorHAnsi" w:cstheme="majorHAnsi"/>
                <w:sz w:val="20"/>
                <w:szCs w:val="20"/>
              </w:rPr>
              <w:t>43)</w:t>
            </w:r>
          </w:p>
        </w:tc>
        <w:tc>
          <w:tcPr>
            <w:tcW w:w="1417"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41C4A0FD" w14:textId="77777777" w:rsidR="000C7844" w:rsidRPr="00E53B34" w:rsidRDefault="004439C9" w:rsidP="000C7844">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E53B34">
              <w:rPr>
                <w:rFonts w:asciiTheme="majorHAnsi" w:hAnsiTheme="majorHAnsi" w:cstheme="majorHAnsi"/>
                <w:sz w:val="20"/>
                <w:szCs w:val="20"/>
              </w:rPr>
              <w:t>45-49 years</w:t>
            </w:r>
          </w:p>
        </w:tc>
        <w:tc>
          <w:tcPr>
            <w:tcW w:w="4820"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2F60E10E" w14:textId="77777777" w:rsidR="004439C9" w:rsidRPr="00A70722" w:rsidRDefault="004439C9" w:rsidP="004439C9">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highlight w:val="yellow"/>
              </w:rPr>
            </w:pPr>
            <w:r w:rsidRPr="00A70722">
              <w:rPr>
                <w:rFonts w:asciiTheme="majorHAnsi" w:hAnsiTheme="majorHAnsi" w:cstheme="majorHAnsi"/>
                <w:sz w:val="20"/>
                <w:szCs w:val="20"/>
                <w:highlight w:val="yellow"/>
              </w:rPr>
              <w:t xml:space="preserve">Ask about vision and family history of eye disease (age-related macular degeneration and glaucoma in </w:t>
            </w:r>
            <w:r w:rsidRPr="00A70722">
              <w:rPr>
                <w:rFonts w:asciiTheme="majorHAnsi" w:eastAsia="HelveticaNeueLTStd-Lt" w:hAnsiTheme="majorHAnsi" w:cstheme="majorHAnsi"/>
                <w:color w:val="000000"/>
                <w:sz w:val="20"/>
                <w:szCs w:val="20"/>
                <w:highlight w:val="yellow"/>
              </w:rPr>
              <w:t>first-degree relatives</w:t>
            </w:r>
            <w:r w:rsidRPr="00A70722">
              <w:rPr>
                <w:rFonts w:asciiTheme="majorHAnsi" w:hAnsiTheme="majorHAnsi" w:cstheme="majorHAnsi"/>
                <w:sz w:val="20"/>
                <w:szCs w:val="20"/>
                <w:highlight w:val="yellow"/>
              </w:rPr>
              <w:t>). Complete an eye examination and test visual acuity if any problems are identified.</w:t>
            </w:r>
          </w:p>
          <w:p w14:paraId="32A69314" w14:textId="77777777" w:rsidR="004439C9" w:rsidRPr="00A70722" w:rsidRDefault="004439C9" w:rsidP="004439C9">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highlight w:val="yellow"/>
              </w:rPr>
            </w:pPr>
            <w:r w:rsidRPr="00A70722">
              <w:rPr>
                <w:rFonts w:asciiTheme="majorHAnsi" w:hAnsiTheme="majorHAnsi" w:cstheme="majorHAnsi"/>
                <w:sz w:val="20"/>
                <w:szCs w:val="20"/>
                <w:highlight w:val="yellow"/>
              </w:rPr>
              <w:t>Include testing for near visual acuity from age 40 onwards</w:t>
            </w:r>
          </w:p>
          <w:p w14:paraId="3B653A90" w14:textId="77777777" w:rsidR="005243E7" w:rsidRPr="001B0606" w:rsidRDefault="004439C9" w:rsidP="001B0606">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A70722">
              <w:rPr>
                <w:rFonts w:asciiTheme="majorHAnsi" w:hAnsiTheme="majorHAnsi" w:cstheme="majorHAnsi"/>
                <w:sz w:val="20"/>
                <w:szCs w:val="20"/>
                <w:highlight w:val="yellow"/>
              </w:rPr>
              <w:t>Refer to optometrist and/or ophthalmologist if problems reported or identified.</w:t>
            </w:r>
            <w:r w:rsidR="00786E11">
              <w:rPr>
                <w:rFonts w:asciiTheme="majorHAnsi" w:hAnsiTheme="majorHAnsi" w:cstheme="majorHAnsi"/>
                <w:sz w:val="20"/>
                <w:szCs w:val="20"/>
                <w:highlight w:val="yellow"/>
              </w:rPr>
              <w:t xml:space="preserve"> Consider referral to consumer organisations if family history of conditions such as glaucoma</w:t>
            </w:r>
            <w:r w:rsidR="00705C18">
              <w:rPr>
                <w:rFonts w:asciiTheme="majorHAnsi" w:hAnsiTheme="majorHAnsi" w:cstheme="majorHAnsi"/>
                <w:sz w:val="20"/>
                <w:szCs w:val="20"/>
                <w:highlight w:val="yellow"/>
              </w:rPr>
              <w:t xml:space="preserve"> or retinal conditions</w:t>
            </w:r>
            <w:r w:rsidR="00786E11">
              <w:rPr>
                <w:rFonts w:asciiTheme="majorHAnsi" w:hAnsiTheme="majorHAnsi" w:cstheme="majorHAnsi"/>
                <w:sz w:val="20"/>
                <w:szCs w:val="20"/>
                <w:highlight w:val="yellow"/>
              </w:rPr>
              <w:t xml:space="preserve">. </w:t>
            </w:r>
          </w:p>
        </w:tc>
        <w:tc>
          <w:tcPr>
            <w:tcW w:w="1275"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3584670D" w14:textId="77777777" w:rsidR="000C7844" w:rsidRPr="00E53B34" w:rsidRDefault="000C7844" w:rsidP="000C7844">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r>
      <w:tr w:rsidR="000C7844" w14:paraId="39C1503D" w14:textId="77777777" w:rsidTr="001150BC">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3F6E6520" w14:textId="77777777" w:rsidR="000C7844" w:rsidRPr="00E53B34" w:rsidRDefault="000C7844" w:rsidP="000C7844">
            <w:pPr>
              <w:pStyle w:val="BodyText"/>
              <w:rPr>
                <w:rFonts w:asciiTheme="majorHAnsi" w:hAnsiTheme="majorHAnsi" w:cstheme="majorHAnsi"/>
                <w:sz w:val="20"/>
                <w:szCs w:val="20"/>
              </w:rPr>
            </w:pPr>
          </w:p>
        </w:tc>
        <w:tc>
          <w:tcPr>
            <w:tcW w:w="1417"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092A4070" w14:textId="77777777" w:rsidR="000C7844" w:rsidRPr="00E53B34" w:rsidRDefault="004439C9" w:rsidP="000C7844">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E53B34">
              <w:rPr>
                <w:rFonts w:asciiTheme="majorHAnsi" w:hAnsiTheme="majorHAnsi" w:cstheme="majorHAnsi"/>
                <w:sz w:val="20"/>
                <w:szCs w:val="20"/>
              </w:rPr>
              <w:t>50-64 years</w:t>
            </w:r>
          </w:p>
        </w:tc>
        <w:tc>
          <w:tcPr>
            <w:tcW w:w="4820"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34F6CAED" w14:textId="77777777" w:rsidR="004439C9" w:rsidRPr="00A70722" w:rsidRDefault="004439C9" w:rsidP="004439C9">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highlight w:val="yellow"/>
              </w:rPr>
            </w:pPr>
            <w:r w:rsidRPr="00A70722">
              <w:rPr>
                <w:rFonts w:asciiTheme="majorHAnsi" w:hAnsiTheme="majorHAnsi" w:cstheme="majorHAnsi"/>
                <w:sz w:val="20"/>
                <w:szCs w:val="20"/>
                <w:highlight w:val="yellow"/>
              </w:rPr>
              <w:t xml:space="preserve">Ask about vision and family history of eye (age-related macular degeneration and glaucoma in </w:t>
            </w:r>
            <w:r w:rsidRPr="00A70722">
              <w:rPr>
                <w:rFonts w:asciiTheme="majorHAnsi" w:eastAsia="HelveticaNeueLTStd-Lt" w:hAnsiTheme="majorHAnsi" w:cstheme="majorHAnsi"/>
                <w:color w:val="000000"/>
                <w:sz w:val="20"/>
                <w:szCs w:val="20"/>
                <w:highlight w:val="yellow"/>
              </w:rPr>
              <w:t>first-degree relatives</w:t>
            </w:r>
            <w:r w:rsidRPr="00A70722">
              <w:rPr>
                <w:rFonts w:asciiTheme="majorHAnsi" w:hAnsiTheme="majorHAnsi" w:cstheme="majorHAnsi"/>
                <w:sz w:val="20"/>
                <w:szCs w:val="20"/>
                <w:highlight w:val="yellow"/>
              </w:rPr>
              <w:t>). Complete an eye examination and test visual acuity if any problems are identified.</w:t>
            </w:r>
          </w:p>
          <w:p w14:paraId="7AD3AF73" w14:textId="77777777" w:rsidR="004439C9" w:rsidRPr="00A70722" w:rsidRDefault="004439C9" w:rsidP="004439C9">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highlight w:val="yellow"/>
              </w:rPr>
            </w:pPr>
            <w:r w:rsidRPr="00A70722">
              <w:rPr>
                <w:rFonts w:asciiTheme="majorHAnsi" w:hAnsiTheme="majorHAnsi" w:cstheme="majorHAnsi"/>
                <w:sz w:val="20"/>
                <w:szCs w:val="20"/>
                <w:highlight w:val="yellow"/>
              </w:rPr>
              <w:t xml:space="preserve">Include testing for near visual acuity </w:t>
            </w:r>
          </w:p>
          <w:p w14:paraId="25FEC850" w14:textId="77777777" w:rsidR="00705C18" w:rsidRDefault="004439C9" w:rsidP="001B0606">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highlight w:val="yellow"/>
              </w:rPr>
            </w:pPr>
            <w:r w:rsidRPr="00A70722">
              <w:rPr>
                <w:rFonts w:asciiTheme="majorHAnsi" w:hAnsiTheme="majorHAnsi" w:cstheme="majorHAnsi"/>
                <w:sz w:val="20"/>
                <w:szCs w:val="20"/>
                <w:highlight w:val="yellow"/>
              </w:rPr>
              <w:t>Refer to optometrist and/or ophthalmologist if problems reported or identified.</w:t>
            </w:r>
            <w:r w:rsidR="00705C18">
              <w:rPr>
                <w:rFonts w:asciiTheme="majorHAnsi" w:hAnsiTheme="majorHAnsi" w:cstheme="majorHAnsi"/>
                <w:sz w:val="20"/>
                <w:szCs w:val="20"/>
                <w:highlight w:val="yellow"/>
              </w:rPr>
              <w:t xml:space="preserve"> </w:t>
            </w:r>
          </w:p>
          <w:p w14:paraId="3A577084" w14:textId="77777777" w:rsidR="005243E7" w:rsidRPr="00A70722" w:rsidRDefault="00705C18" w:rsidP="001B0606">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highlight w:val="yellow"/>
              </w:rPr>
            </w:pPr>
            <w:r>
              <w:rPr>
                <w:rFonts w:asciiTheme="majorHAnsi" w:hAnsiTheme="majorHAnsi" w:cstheme="majorHAnsi"/>
                <w:sz w:val="20"/>
                <w:szCs w:val="20"/>
                <w:highlight w:val="yellow"/>
              </w:rPr>
              <w:lastRenderedPageBreak/>
              <w:t>Consider referral to consumer organisations if family history of conditions such as glaucoma or retinal conditions.</w:t>
            </w:r>
          </w:p>
        </w:tc>
        <w:tc>
          <w:tcPr>
            <w:tcW w:w="1275"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47844E6C" w14:textId="77777777" w:rsidR="000C7844" w:rsidRPr="00E53B34" w:rsidRDefault="000C7844" w:rsidP="000C7844">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r>
      <w:tr w:rsidR="00C26EBE" w14:paraId="2053F64D" w14:textId="77777777" w:rsidTr="001150BC">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4830072E" w14:textId="77777777" w:rsidR="00C26EBE" w:rsidRPr="00E53B34" w:rsidRDefault="00C26EBE" w:rsidP="00C26EBE">
            <w:pPr>
              <w:pStyle w:val="BodyText"/>
              <w:rPr>
                <w:rFonts w:asciiTheme="majorHAnsi" w:hAnsiTheme="majorHAnsi" w:cstheme="majorHAnsi"/>
                <w:sz w:val="20"/>
                <w:szCs w:val="20"/>
              </w:rPr>
            </w:pPr>
            <w:r>
              <w:rPr>
                <w:rFonts w:asciiTheme="majorHAnsi" w:hAnsiTheme="majorHAnsi" w:cstheme="majorHAnsi"/>
                <w:sz w:val="20"/>
                <w:szCs w:val="20"/>
              </w:rPr>
              <w:t>People with diabetes</w:t>
            </w:r>
          </w:p>
        </w:tc>
        <w:tc>
          <w:tcPr>
            <w:tcW w:w="1417"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75905370" w14:textId="77777777" w:rsidR="00C26EBE" w:rsidRPr="00E53B34" w:rsidRDefault="00C26EBE" w:rsidP="00C26EBE">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c>
          <w:tcPr>
            <w:tcW w:w="4820"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3CDDE6D3" w14:textId="77777777" w:rsidR="00C26EBE" w:rsidRDefault="00C26EBE" w:rsidP="00C26EBE">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Pr>
                <w:rFonts w:asciiTheme="majorHAnsi" w:hAnsiTheme="majorHAnsi" w:cstheme="majorHAnsi"/>
                <w:sz w:val="20"/>
                <w:szCs w:val="20"/>
              </w:rPr>
              <w:t>Undertake visual acuity and retinal assessment by a trained assessor.</w:t>
            </w:r>
          </w:p>
          <w:p w14:paraId="27ECFF4D" w14:textId="77777777" w:rsidR="00C26EBE" w:rsidRPr="00E53B34" w:rsidRDefault="00C26EBE" w:rsidP="00C26EBE">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Pr>
                <w:rFonts w:asciiTheme="majorHAnsi" w:hAnsiTheme="majorHAnsi" w:cstheme="majorHAnsi"/>
                <w:sz w:val="20"/>
                <w:szCs w:val="20"/>
              </w:rPr>
              <w:t xml:space="preserve">This includes the use of retinal photography by trained primary healthcare staff combined by with external review by an ophthalmologist </w:t>
            </w:r>
            <w:r w:rsidRPr="007A56B0">
              <w:rPr>
                <w:rFonts w:asciiTheme="majorHAnsi" w:hAnsiTheme="majorHAnsi" w:cstheme="majorHAnsi"/>
                <w:sz w:val="20"/>
                <w:szCs w:val="20"/>
                <w:highlight w:val="yellow"/>
              </w:rPr>
              <w:t>or optometrist</w:t>
            </w:r>
            <w:r w:rsidR="00FA0A65">
              <w:rPr>
                <w:rFonts w:asciiTheme="majorHAnsi" w:hAnsiTheme="majorHAnsi" w:cstheme="majorHAnsi"/>
                <w:sz w:val="20"/>
                <w:szCs w:val="20"/>
                <w:highlight w:val="yellow"/>
              </w:rPr>
              <w:t xml:space="preserve">. Adherence to RANZCO </w:t>
            </w:r>
            <w:r w:rsidR="00EE67BB" w:rsidRPr="00622E82">
              <w:rPr>
                <w:rFonts w:asciiTheme="majorHAnsi" w:hAnsiTheme="majorHAnsi" w:cstheme="majorHAnsi"/>
                <w:sz w:val="20"/>
                <w:szCs w:val="20"/>
                <w:highlight w:val="yellow"/>
              </w:rPr>
              <w:t>patient screening and referral pathway guidelines for diabetic retinopathy</w:t>
            </w:r>
            <w:r w:rsidR="00EE67BB">
              <w:rPr>
                <w:rFonts w:asciiTheme="majorHAnsi" w:hAnsiTheme="majorHAnsi" w:cstheme="majorHAnsi"/>
                <w:sz w:val="20"/>
                <w:szCs w:val="20"/>
                <w:highlight w:val="yellow"/>
              </w:rPr>
              <w:t xml:space="preserve"> </w:t>
            </w:r>
            <w:r w:rsidR="00FA0A65">
              <w:rPr>
                <w:rFonts w:asciiTheme="majorHAnsi" w:hAnsiTheme="majorHAnsi" w:cstheme="majorHAnsi"/>
                <w:sz w:val="20"/>
                <w:szCs w:val="20"/>
                <w:highlight w:val="yellow"/>
              </w:rPr>
              <w:t>is recommended.</w:t>
            </w:r>
            <w:r w:rsidR="00FA0A65">
              <w:rPr>
                <w:rStyle w:val="FootnoteReference"/>
                <w:rFonts w:asciiTheme="majorHAnsi" w:hAnsiTheme="majorHAnsi" w:cstheme="majorHAnsi"/>
                <w:sz w:val="20"/>
                <w:szCs w:val="20"/>
                <w:highlight w:val="yellow"/>
              </w:rPr>
              <w:footnoteReference w:id="2"/>
            </w:r>
          </w:p>
        </w:tc>
        <w:tc>
          <w:tcPr>
            <w:tcW w:w="1275"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4A0AEDDC" w14:textId="77777777" w:rsidR="00C26EBE" w:rsidRPr="00E53B34" w:rsidRDefault="00C26EBE" w:rsidP="00C26EBE">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r>
      <w:tr w:rsidR="0098141D" w14:paraId="0C877EDE" w14:textId="77777777" w:rsidTr="001150BC">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501CB898" w14:textId="77777777" w:rsidR="0098141D" w:rsidRDefault="008C0507" w:rsidP="00C26EBE">
            <w:pPr>
              <w:pStyle w:val="BodyText"/>
              <w:rPr>
                <w:rFonts w:asciiTheme="majorHAnsi" w:hAnsiTheme="majorHAnsi" w:cstheme="majorHAnsi"/>
                <w:sz w:val="20"/>
                <w:szCs w:val="20"/>
              </w:rPr>
            </w:pPr>
            <w:r>
              <w:rPr>
                <w:rFonts w:asciiTheme="majorHAnsi" w:hAnsiTheme="majorHAnsi" w:cstheme="majorHAnsi"/>
                <w:sz w:val="20"/>
                <w:szCs w:val="20"/>
              </w:rPr>
              <w:t>Behavioural</w:t>
            </w:r>
          </w:p>
        </w:tc>
        <w:tc>
          <w:tcPr>
            <w:tcW w:w="1417"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78E28A23" w14:textId="77777777" w:rsidR="0098141D" w:rsidRPr="00E53B34" w:rsidRDefault="008C0507" w:rsidP="00C26EBE">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Pr>
                <w:rFonts w:asciiTheme="majorHAnsi" w:hAnsiTheme="majorHAnsi" w:cstheme="majorHAnsi"/>
                <w:sz w:val="20"/>
                <w:szCs w:val="20"/>
              </w:rPr>
              <w:t>All people</w:t>
            </w:r>
          </w:p>
        </w:tc>
        <w:tc>
          <w:tcPr>
            <w:tcW w:w="4820"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25DA68A3" w14:textId="77777777" w:rsidR="0098141D" w:rsidRDefault="008C0507" w:rsidP="00C26EBE">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Pr>
                <w:rFonts w:asciiTheme="majorHAnsi" w:hAnsiTheme="majorHAnsi" w:cstheme="majorHAnsi"/>
                <w:sz w:val="20"/>
                <w:szCs w:val="20"/>
              </w:rPr>
              <w:t xml:space="preserve">Recommend a balanced diet high in fruit and </w:t>
            </w:r>
            <w:r w:rsidRPr="008C0507">
              <w:rPr>
                <w:rFonts w:asciiTheme="majorHAnsi" w:hAnsiTheme="majorHAnsi" w:cstheme="majorHAnsi"/>
                <w:sz w:val="20"/>
                <w:szCs w:val="20"/>
                <w:highlight w:val="yellow"/>
              </w:rPr>
              <w:t>green leafy</w:t>
            </w:r>
            <w:r>
              <w:rPr>
                <w:rFonts w:asciiTheme="majorHAnsi" w:hAnsiTheme="majorHAnsi" w:cstheme="majorHAnsi"/>
                <w:sz w:val="20"/>
                <w:szCs w:val="20"/>
              </w:rPr>
              <w:t xml:space="preserve"> vegetables to reduce the risk of</w:t>
            </w:r>
            <w:r w:rsidR="00651E0B">
              <w:rPr>
                <w:rFonts w:asciiTheme="majorHAnsi" w:hAnsiTheme="majorHAnsi" w:cstheme="majorHAnsi"/>
                <w:sz w:val="20"/>
                <w:szCs w:val="20"/>
              </w:rPr>
              <w:t xml:space="preserve"> developing cataract and age-related macular degeneratio</w:t>
            </w:r>
            <w:r w:rsidR="00421285">
              <w:rPr>
                <w:rFonts w:asciiTheme="majorHAnsi" w:hAnsiTheme="majorHAnsi" w:cstheme="majorHAnsi"/>
                <w:sz w:val="20"/>
                <w:szCs w:val="20"/>
              </w:rPr>
              <w:t>n</w:t>
            </w:r>
            <w:r w:rsidR="00FA0A65">
              <w:rPr>
                <w:rFonts w:asciiTheme="majorHAnsi" w:hAnsiTheme="majorHAnsi" w:cstheme="majorHAnsi"/>
                <w:sz w:val="20"/>
                <w:szCs w:val="20"/>
              </w:rPr>
              <w:t xml:space="preserve">. </w:t>
            </w:r>
            <w:r w:rsidR="00FA0A65">
              <w:rPr>
                <w:rFonts w:asciiTheme="majorHAnsi" w:hAnsiTheme="majorHAnsi" w:cstheme="majorHAnsi"/>
                <w:sz w:val="20"/>
                <w:szCs w:val="20"/>
                <w:highlight w:val="yellow"/>
              </w:rPr>
              <w:t>Adherence to RANZCO referral pathway on age-related macular degeneration</w:t>
            </w:r>
            <w:r w:rsidR="007B7199">
              <w:rPr>
                <w:rFonts w:asciiTheme="majorHAnsi" w:hAnsiTheme="majorHAnsi" w:cstheme="majorHAnsi"/>
                <w:sz w:val="20"/>
                <w:szCs w:val="20"/>
                <w:highlight w:val="yellow"/>
              </w:rPr>
              <w:t xml:space="preserve"> management</w:t>
            </w:r>
            <w:r w:rsidR="00FA0A65">
              <w:rPr>
                <w:rFonts w:asciiTheme="majorHAnsi" w:hAnsiTheme="majorHAnsi" w:cstheme="majorHAnsi"/>
                <w:sz w:val="20"/>
                <w:szCs w:val="20"/>
                <w:highlight w:val="yellow"/>
              </w:rPr>
              <w:t xml:space="preserve"> is recommended. </w:t>
            </w:r>
            <w:r w:rsidR="00FA0A65">
              <w:rPr>
                <w:rStyle w:val="FootnoteReference"/>
                <w:rFonts w:asciiTheme="majorHAnsi" w:hAnsiTheme="majorHAnsi" w:cstheme="majorHAnsi"/>
                <w:sz w:val="20"/>
                <w:szCs w:val="20"/>
                <w:highlight w:val="yellow"/>
              </w:rPr>
              <w:footnoteReference w:id="3"/>
            </w:r>
          </w:p>
        </w:tc>
        <w:tc>
          <w:tcPr>
            <w:tcW w:w="1275"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46ECFBDF" w14:textId="77777777" w:rsidR="0098141D" w:rsidRPr="00E53B34" w:rsidRDefault="004B79E5" w:rsidP="00C26EBE">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Pr>
                <w:rFonts w:asciiTheme="majorHAnsi" w:hAnsiTheme="majorHAnsi" w:cstheme="majorHAnsi"/>
                <w:sz w:val="20"/>
                <w:szCs w:val="20"/>
              </w:rPr>
              <w:t>37</w:t>
            </w:r>
          </w:p>
        </w:tc>
      </w:tr>
      <w:tr w:rsidR="004439C9" w14:paraId="33F0DAB3" w14:textId="77777777" w:rsidTr="001150BC">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451AD0DB" w14:textId="77777777" w:rsidR="004439C9" w:rsidRPr="00E53B34" w:rsidRDefault="004439C9" w:rsidP="000C7844">
            <w:pPr>
              <w:pStyle w:val="BodyText"/>
              <w:rPr>
                <w:rFonts w:asciiTheme="majorHAnsi" w:hAnsiTheme="majorHAnsi" w:cstheme="majorHAnsi"/>
                <w:bCs w:val="0"/>
                <w:sz w:val="20"/>
                <w:szCs w:val="20"/>
              </w:rPr>
            </w:pPr>
            <w:r w:rsidRPr="00E53B34">
              <w:rPr>
                <w:rFonts w:asciiTheme="majorHAnsi" w:hAnsiTheme="majorHAnsi" w:cstheme="majorHAnsi"/>
                <w:sz w:val="20"/>
                <w:szCs w:val="20"/>
              </w:rPr>
              <w:t>Chapter 5: Preventive activities in older age</w:t>
            </w:r>
            <w:r w:rsidRPr="00E53B34">
              <w:rPr>
                <w:rFonts w:asciiTheme="majorHAnsi" w:hAnsiTheme="majorHAnsi" w:cstheme="majorHAnsi"/>
                <w:b w:val="0"/>
                <w:sz w:val="20"/>
                <w:szCs w:val="20"/>
              </w:rPr>
              <w:t xml:space="preserve"> </w:t>
            </w:r>
            <w:r w:rsidRPr="001C38CC">
              <w:rPr>
                <w:rFonts w:asciiTheme="majorHAnsi" w:hAnsiTheme="majorHAnsi" w:cstheme="majorHAnsi"/>
                <w:sz w:val="20"/>
                <w:szCs w:val="20"/>
              </w:rPr>
              <w:t>(p</w:t>
            </w:r>
            <w:r w:rsidR="001C38CC" w:rsidRPr="001C38CC">
              <w:rPr>
                <w:rFonts w:asciiTheme="majorHAnsi" w:hAnsiTheme="majorHAnsi" w:cstheme="majorHAnsi"/>
                <w:sz w:val="20"/>
                <w:szCs w:val="20"/>
              </w:rPr>
              <w:t>age</w:t>
            </w:r>
            <w:r w:rsidRPr="001C38CC">
              <w:rPr>
                <w:rFonts w:asciiTheme="majorHAnsi" w:hAnsiTheme="majorHAnsi" w:cstheme="majorHAnsi"/>
                <w:sz w:val="20"/>
                <w:szCs w:val="20"/>
              </w:rPr>
              <w:t xml:space="preserve"> 50)</w:t>
            </w:r>
          </w:p>
          <w:p w14:paraId="30CB42F7" w14:textId="77777777" w:rsidR="004439C9" w:rsidRPr="001C38CC" w:rsidRDefault="004439C9" w:rsidP="000C7844">
            <w:pPr>
              <w:pStyle w:val="BodyText"/>
              <w:rPr>
                <w:rFonts w:asciiTheme="majorHAnsi" w:hAnsiTheme="majorHAnsi" w:cstheme="majorHAnsi"/>
                <w:sz w:val="20"/>
                <w:szCs w:val="20"/>
              </w:rPr>
            </w:pPr>
            <w:r w:rsidRPr="001C38CC">
              <w:rPr>
                <w:rFonts w:asciiTheme="majorHAnsi" w:hAnsiTheme="majorHAnsi" w:cstheme="majorHAnsi"/>
                <w:sz w:val="20"/>
                <w:szCs w:val="20"/>
              </w:rPr>
              <w:t>5.4 Visual and hearing impairment</w:t>
            </w:r>
          </w:p>
        </w:tc>
        <w:tc>
          <w:tcPr>
            <w:tcW w:w="1417"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00D4DCAB" w14:textId="77777777" w:rsidR="004439C9" w:rsidRPr="00E53B34" w:rsidRDefault="004439C9" w:rsidP="001C38CC">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c>
          <w:tcPr>
            <w:tcW w:w="4820"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012244EC" w14:textId="77777777" w:rsidR="001C38CC" w:rsidRPr="00EE2183" w:rsidRDefault="001C38CC" w:rsidP="00EE2183">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E53B34">
              <w:rPr>
                <w:rFonts w:asciiTheme="majorHAnsi" w:hAnsiTheme="majorHAnsi" w:cstheme="majorHAnsi"/>
                <w:sz w:val="20"/>
                <w:szCs w:val="20"/>
              </w:rPr>
              <w:t xml:space="preserve">Visual acuity should be assessed from 65 years of age using the Snellen Chart (B) in those with symptoms or who request it. </w:t>
            </w:r>
          </w:p>
          <w:p w14:paraId="1ABAB913" w14:textId="77777777" w:rsidR="00720600" w:rsidRDefault="004439C9" w:rsidP="00720600">
            <w:pPr>
              <w:autoSpaceDE w:val="0"/>
              <w:autoSpaceDN w:val="0"/>
              <w:adjustRightInd w:val="0"/>
              <w:spacing w:after="1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highlight w:val="yellow"/>
              </w:rPr>
            </w:pPr>
            <w:r w:rsidRPr="001C38CC">
              <w:rPr>
                <w:rFonts w:asciiTheme="majorHAnsi" w:eastAsia="HelveticaNeueLTStd-Lt" w:hAnsiTheme="majorHAnsi" w:cstheme="majorHAnsi"/>
                <w:color w:val="000000"/>
                <w:sz w:val="20"/>
                <w:szCs w:val="20"/>
                <w:highlight w:val="yellow"/>
              </w:rPr>
              <w:t>Patients of all ages should be asked about vision and family history of age-related macular degeneration and glaucoma (first-degree relatives) as part of the health assessment, and should be referred to an optometrist or ophthalmologist for further assessment and management if problems are reported or identified.</w:t>
            </w:r>
            <w:r w:rsidR="00705C18">
              <w:rPr>
                <w:rFonts w:asciiTheme="majorHAnsi" w:hAnsiTheme="majorHAnsi" w:cstheme="majorHAnsi"/>
                <w:sz w:val="20"/>
                <w:szCs w:val="20"/>
                <w:highlight w:val="yellow"/>
              </w:rPr>
              <w:t xml:space="preserve"> </w:t>
            </w:r>
          </w:p>
          <w:p w14:paraId="085ADABE" w14:textId="77777777" w:rsidR="004439C9" w:rsidRPr="001C38CC" w:rsidRDefault="00705C18" w:rsidP="00720600">
            <w:pPr>
              <w:autoSpaceDE w:val="0"/>
              <w:autoSpaceDN w:val="0"/>
              <w:adjustRightInd w:val="0"/>
              <w:spacing w:after="120"/>
              <w:cnfStyle w:val="000000000000" w:firstRow="0" w:lastRow="0" w:firstColumn="0" w:lastColumn="0" w:oddVBand="0" w:evenVBand="0" w:oddHBand="0" w:evenHBand="0" w:firstRowFirstColumn="0" w:firstRowLastColumn="0" w:lastRowFirstColumn="0" w:lastRowLastColumn="0"/>
              <w:rPr>
                <w:rFonts w:asciiTheme="majorHAnsi" w:eastAsia="HelveticaNeueLTStd-Lt" w:hAnsiTheme="majorHAnsi" w:cstheme="majorHAnsi"/>
                <w:color w:val="000000"/>
                <w:sz w:val="20"/>
                <w:szCs w:val="20"/>
                <w:highlight w:val="yellow"/>
              </w:rPr>
            </w:pPr>
            <w:r>
              <w:rPr>
                <w:rFonts w:asciiTheme="majorHAnsi" w:hAnsiTheme="majorHAnsi" w:cstheme="majorHAnsi"/>
                <w:sz w:val="20"/>
                <w:szCs w:val="20"/>
                <w:highlight w:val="yellow"/>
              </w:rPr>
              <w:t>Consider referral to consumer organisations if family history of conditions such as glaucoma or retinal conditions.</w:t>
            </w:r>
          </w:p>
          <w:p w14:paraId="20866522" w14:textId="77777777" w:rsidR="00622E82" w:rsidRPr="00622E82" w:rsidRDefault="00076352" w:rsidP="00720600">
            <w:pPr>
              <w:autoSpaceDE w:val="0"/>
              <w:autoSpaceDN w:val="0"/>
              <w:adjustRightInd w:val="0"/>
              <w:spacing w:after="1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highlight w:val="yellow"/>
              </w:rPr>
            </w:pPr>
            <w:r w:rsidRPr="00622E82">
              <w:rPr>
                <w:rFonts w:asciiTheme="majorHAnsi" w:hAnsiTheme="majorHAnsi" w:cstheme="majorHAnsi"/>
                <w:sz w:val="20"/>
                <w:szCs w:val="20"/>
                <w:highlight w:val="yellow"/>
              </w:rPr>
              <w:t xml:space="preserve">Adherence to RANZCO </w:t>
            </w:r>
            <w:r w:rsidR="00622E82" w:rsidRPr="00622E82">
              <w:rPr>
                <w:rFonts w:asciiTheme="majorHAnsi" w:hAnsiTheme="majorHAnsi" w:cstheme="majorHAnsi"/>
                <w:sz w:val="20"/>
                <w:szCs w:val="20"/>
                <w:highlight w:val="yellow"/>
              </w:rPr>
              <w:t>patient screening and referral pathway guidelines for</w:t>
            </w:r>
            <w:r w:rsidRPr="00622E82">
              <w:rPr>
                <w:rFonts w:asciiTheme="majorHAnsi" w:hAnsiTheme="majorHAnsi" w:cstheme="majorHAnsi"/>
                <w:sz w:val="20"/>
                <w:szCs w:val="20"/>
                <w:highlight w:val="yellow"/>
              </w:rPr>
              <w:t xml:space="preserve"> diabetic</w:t>
            </w:r>
            <w:r w:rsidR="00622E82" w:rsidRPr="00622E82">
              <w:rPr>
                <w:rFonts w:asciiTheme="majorHAnsi" w:hAnsiTheme="majorHAnsi" w:cstheme="majorHAnsi"/>
                <w:sz w:val="20"/>
                <w:szCs w:val="20"/>
                <w:highlight w:val="yellow"/>
              </w:rPr>
              <w:t xml:space="preserve"> retinopathy</w:t>
            </w:r>
            <w:r w:rsidRPr="00622E82">
              <w:rPr>
                <w:rFonts w:asciiTheme="majorHAnsi" w:hAnsiTheme="majorHAnsi" w:cstheme="majorHAnsi"/>
                <w:sz w:val="20"/>
                <w:szCs w:val="20"/>
                <w:highlight w:val="yellow"/>
              </w:rPr>
              <w:t xml:space="preserve">, age-related macular degeneration and glaucoma management is recommended. </w:t>
            </w:r>
            <w:r w:rsidRPr="00622E82">
              <w:rPr>
                <w:rStyle w:val="FootnoteReference"/>
                <w:rFonts w:asciiTheme="majorHAnsi" w:hAnsiTheme="majorHAnsi" w:cstheme="majorHAnsi"/>
                <w:sz w:val="20"/>
                <w:szCs w:val="20"/>
                <w:highlight w:val="yellow"/>
              </w:rPr>
              <w:footnoteReference w:id="4"/>
            </w:r>
          </w:p>
        </w:tc>
        <w:tc>
          <w:tcPr>
            <w:tcW w:w="1275"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5EE28ABA" w14:textId="77777777" w:rsidR="004439C9" w:rsidRPr="00E53B34" w:rsidRDefault="00C150BA" w:rsidP="000C7844">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E53B34">
              <w:rPr>
                <w:rFonts w:asciiTheme="majorHAnsi" w:hAnsiTheme="majorHAnsi" w:cstheme="majorHAnsi"/>
                <w:sz w:val="20"/>
                <w:szCs w:val="20"/>
              </w:rPr>
              <w:t>50, 51</w:t>
            </w:r>
          </w:p>
        </w:tc>
      </w:tr>
      <w:tr w:rsidR="004439C9" w:rsidRPr="00E53B34" w14:paraId="37B2AF6C" w14:textId="77777777" w:rsidTr="001150BC">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3A02CE02" w14:textId="77777777" w:rsidR="00EA427E" w:rsidRPr="00B44C34" w:rsidRDefault="00EA427E" w:rsidP="00EA427E">
            <w:pPr>
              <w:pStyle w:val="Heading3"/>
              <w:outlineLvl w:val="2"/>
              <w:rPr>
                <w:rFonts w:cstheme="majorHAnsi"/>
                <w:b/>
                <w:sz w:val="20"/>
                <w:szCs w:val="20"/>
              </w:rPr>
            </w:pPr>
            <w:r w:rsidRPr="00B44C34">
              <w:rPr>
                <w:rFonts w:cstheme="majorHAnsi"/>
                <w:b/>
                <w:sz w:val="20"/>
                <w:szCs w:val="20"/>
              </w:rPr>
              <w:lastRenderedPageBreak/>
              <w:t>Table 5.4.2 Visual and hearing impairment: Preventive interventions</w:t>
            </w:r>
          </w:p>
          <w:p w14:paraId="18A5F96C" w14:textId="77777777" w:rsidR="004439C9" w:rsidRPr="00E53B34" w:rsidRDefault="004439C9" w:rsidP="000C7844">
            <w:pPr>
              <w:pStyle w:val="BodyText"/>
              <w:rPr>
                <w:rFonts w:asciiTheme="majorHAnsi" w:hAnsiTheme="majorHAnsi" w:cstheme="majorHAnsi"/>
                <w:sz w:val="20"/>
                <w:szCs w:val="20"/>
              </w:rPr>
            </w:pPr>
          </w:p>
        </w:tc>
        <w:tc>
          <w:tcPr>
            <w:tcW w:w="1417"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325E5DC8" w14:textId="77777777" w:rsidR="004439C9" w:rsidRPr="00E53B34" w:rsidRDefault="00EA427E" w:rsidP="000C7844">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E53B34">
              <w:rPr>
                <w:rFonts w:asciiTheme="majorHAnsi" w:hAnsiTheme="majorHAnsi" w:cstheme="majorHAnsi"/>
                <w:sz w:val="20"/>
                <w:szCs w:val="20"/>
              </w:rPr>
              <w:t>Visual impairment: Case finding</w:t>
            </w:r>
          </w:p>
        </w:tc>
        <w:tc>
          <w:tcPr>
            <w:tcW w:w="4820"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69408850" w14:textId="77777777" w:rsidR="00EA427E" w:rsidRPr="00E53B34" w:rsidRDefault="00EA427E" w:rsidP="00EA427E">
            <w:pPr>
              <w:spacing w:after="99" w:line="26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E53B34">
              <w:rPr>
                <w:rFonts w:asciiTheme="majorHAnsi" w:hAnsiTheme="majorHAnsi" w:cstheme="majorHAnsi"/>
                <w:sz w:val="20"/>
                <w:szCs w:val="20"/>
              </w:rPr>
              <w:t xml:space="preserve">Use a Snellen chart to screen for visual impairment in the elderly if requested, or indicated by symptoms or history. </w:t>
            </w:r>
          </w:p>
          <w:p w14:paraId="6BBA49EA" w14:textId="77777777" w:rsidR="00EA427E" w:rsidRPr="000714F9" w:rsidRDefault="00EA427E" w:rsidP="00EA427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HelveticaNeueLTStd-Lt" w:hAnsiTheme="majorHAnsi" w:cstheme="majorHAnsi"/>
                <w:color w:val="000000"/>
                <w:sz w:val="20"/>
                <w:szCs w:val="20"/>
                <w:highlight w:val="yellow"/>
              </w:rPr>
            </w:pPr>
            <w:r w:rsidRPr="000714F9">
              <w:rPr>
                <w:rFonts w:asciiTheme="majorHAnsi" w:eastAsia="HelveticaNeueLTStd-Lt" w:hAnsiTheme="majorHAnsi" w:cstheme="majorHAnsi"/>
                <w:color w:val="000000"/>
                <w:sz w:val="20"/>
                <w:szCs w:val="20"/>
                <w:highlight w:val="yellow"/>
              </w:rPr>
              <w:t>Patients of all ages should be asked about vision and family history of age-related macular degeneration or glaucoma (first-degree relatives) as part of the health assessment, and should be referred to an optometrist or ophthalmologist for further assessment and management if problems are reported or identified.</w:t>
            </w:r>
            <w:r w:rsidR="00305B1E" w:rsidRPr="000714F9">
              <w:rPr>
                <w:rFonts w:asciiTheme="majorHAnsi" w:eastAsia="HelveticaNeueLTStd-Lt" w:hAnsiTheme="majorHAnsi" w:cstheme="majorHAnsi"/>
                <w:color w:val="000000"/>
                <w:sz w:val="20"/>
                <w:szCs w:val="20"/>
                <w:highlight w:val="yellow"/>
              </w:rPr>
              <w:t xml:space="preserve"> Referral is more urgent if family history</w:t>
            </w:r>
            <w:r w:rsidR="00A50A9B" w:rsidRPr="000714F9">
              <w:rPr>
                <w:rFonts w:asciiTheme="majorHAnsi" w:eastAsia="HelveticaNeueLTStd-Lt" w:hAnsiTheme="majorHAnsi" w:cstheme="majorHAnsi"/>
                <w:color w:val="000000"/>
                <w:sz w:val="20"/>
                <w:szCs w:val="20"/>
                <w:highlight w:val="yellow"/>
              </w:rPr>
              <w:t xml:space="preserve"> is present</w:t>
            </w:r>
            <w:r w:rsidR="00305B1E" w:rsidRPr="000714F9">
              <w:rPr>
                <w:rFonts w:asciiTheme="majorHAnsi" w:eastAsia="HelveticaNeueLTStd-Lt" w:hAnsiTheme="majorHAnsi" w:cstheme="majorHAnsi"/>
                <w:color w:val="000000"/>
                <w:sz w:val="20"/>
                <w:szCs w:val="20"/>
                <w:highlight w:val="yellow"/>
              </w:rPr>
              <w:t>.</w:t>
            </w:r>
          </w:p>
          <w:p w14:paraId="64B28294" w14:textId="77777777" w:rsidR="00622E82" w:rsidRPr="000714F9" w:rsidRDefault="00622E82" w:rsidP="00EA427E">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highlight w:val="yellow"/>
              </w:rPr>
            </w:pPr>
            <w:r w:rsidRPr="000714F9">
              <w:rPr>
                <w:rFonts w:asciiTheme="majorHAnsi" w:hAnsiTheme="majorHAnsi" w:cstheme="majorHAnsi"/>
                <w:sz w:val="20"/>
                <w:szCs w:val="20"/>
                <w:highlight w:val="yellow"/>
              </w:rPr>
              <w:t xml:space="preserve">Adherence to RANZCO patient screening and referral pathway guidelines for diabetic retinopathy, age-related macular degeneration and glaucoma management is recommended. </w:t>
            </w:r>
            <w:r w:rsidRPr="000714F9">
              <w:rPr>
                <w:rStyle w:val="FootnoteReference"/>
                <w:rFonts w:asciiTheme="majorHAnsi" w:hAnsiTheme="majorHAnsi" w:cstheme="majorHAnsi"/>
                <w:sz w:val="20"/>
                <w:szCs w:val="20"/>
                <w:highlight w:val="yellow"/>
              </w:rPr>
              <w:footnoteReference w:id="5"/>
            </w:r>
          </w:p>
          <w:p w14:paraId="2F484940" w14:textId="77777777" w:rsidR="004439C9" w:rsidRPr="00E53B34" w:rsidRDefault="00EA427E" w:rsidP="00EA427E">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0714F9">
              <w:rPr>
                <w:rFonts w:asciiTheme="majorHAnsi" w:hAnsiTheme="majorHAnsi" w:cstheme="majorHAnsi"/>
                <w:sz w:val="20"/>
                <w:szCs w:val="20"/>
                <w:highlight w:val="yellow"/>
              </w:rPr>
              <w:t>Also refer to Chapter 12</w:t>
            </w:r>
            <w:r w:rsidR="00E53B34" w:rsidRPr="000714F9">
              <w:rPr>
                <w:rFonts w:asciiTheme="majorHAnsi" w:hAnsiTheme="majorHAnsi" w:cstheme="majorHAnsi"/>
                <w:sz w:val="20"/>
                <w:szCs w:val="20"/>
                <w:highlight w:val="yellow"/>
              </w:rPr>
              <w:t>:</w:t>
            </w:r>
            <w:r w:rsidRPr="000714F9">
              <w:rPr>
                <w:rFonts w:asciiTheme="majorHAnsi" w:hAnsiTheme="majorHAnsi" w:cstheme="majorHAnsi"/>
                <w:sz w:val="20"/>
                <w:szCs w:val="20"/>
                <w:highlight w:val="yellow"/>
              </w:rPr>
              <w:t xml:space="preserve"> Glaucoma</w:t>
            </w:r>
          </w:p>
        </w:tc>
        <w:tc>
          <w:tcPr>
            <w:tcW w:w="1275"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032EDBCB" w14:textId="77777777" w:rsidR="004439C9" w:rsidRPr="00E53B34" w:rsidRDefault="004439C9" w:rsidP="000C7844">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r>
      <w:tr w:rsidR="005C0C10" w:rsidRPr="00E53B34" w14:paraId="41506F55" w14:textId="77777777" w:rsidTr="001150BC">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5D009050" w14:textId="77777777" w:rsidR="005C0C10" w:rsidRPr="00E53B34" w:rsidRDefault="005C0C10" w:rsidP="00EA427E">
            <w:pPr>
              <w:pStyle w:val="Heading3"/>
              <w:outlineLvl w:val="2"/>
              <w:rPr>
                <w:rFonts w:cstheme="majorHAnsi"/>
                <w:b/>
                <w:bCs/>
                <w:sz w:val="20"/>
                <w:szCs w:val="20"/>
              </w:rPr>
            </w:pPr>
            <w:r w:rsidRPr="00E53B34">
              <w:rPr>
                <w:rFonts w:cstheme="majorHAnsi"/>
                <w:sz w:val="20"/>
                <w:szCs w:val="20"/>
              </w:rPr>
              <w:t xml:space="preserve">Glaucoma </w:t>
            </w:r>
          </w:p>
          <w:p w14:paraId="79AD21E1" w14:textId="77777777" w:rsidR="005C0C10" w:rsidRPr="007443D9" w:rsidRDefault="005C0C10" w:rsidP="005C0C10">
            <w:pPr>
              <w:pStyle w:val="BodyText"/>
              <w:rPr>
                <w:rFonts w:asciiTheme="majorHAnsi" w:hAnsiTheme="majorHAnsi" w:cstheme="majorHAnsi"/>
                <w:bCs w:val="0"/>
                <w:sz w:val="20"/>
                <w:szCs w:val="20"/>
              </w:rPr>
            </w:pPr>
            <w:r w:rsidRPr="007443D9">
              <w:rPr>
                <w:rFonts w:asciiTheme="majorHAnsi" w:hAnsiTheme="majorHAnsi" w:cstheme="majorHAnsi"/>
                <w:sz w:val="20"/>
                <w:szCs w:val="20"/>
              </w:rPr>
              <w:t>Chapter 12 (p137)</w:t>
            </w:r>
          </w:p>
          <w:p w14:paraId="01F9A642" w14:textId="77777777" w:rsidR="005C0C10" w:rsidRPr="00E53B34" w:rsidRDefault="005C0C10" w:rsidP="005C0C10">
            <w:pPr>
              <w:pStyle w:val="BodyText"/>
              <w:rPr>
                <w:rFonts w:asciiTheme="majorHAnsi" w:hAnsiTheme="majorHAnsi" w:cstheme="majorHAnsi"/>
                <w:b w:val="0"/>
                <w:sz w:val="20"/>
                <w:szCs w:val="20"/>
              </w:rPr>
            </w:pPr>
            <w:r w:rsidRPr="007443D9">
              <w:rPr>
                <w:rFonts w:asciiTheme="majorHAnsi" w:hAnsiTheme="majorHAnsi" w:cstheme="majorHAnsi"/>
                <w:sz w:val="20"/>
                <w:szCs w:val="20"/>
              </w:rPr>
              <w:t>Table 12.1</w:t>
            </w:r>
          </w:p>
        </w:tc>
        <w:tc>
          <w:tcPr>
            <w:tcW w:w="1417"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616BECA5" w14:textId="77777777" w:rsidR="00B92402" w:rsidRDefault="00900674" w:rsidP="005C0C10">
            <w:pPr>
              <w:spacing w:after="34" w:line="259" w:lineRule="auto"/>
              <w:ind w:left="111"/>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B92402">
              <w:rPr>
                <w:rFonts w:asciiTheme="majorHAnsi" w:hAnsiTheme="majorHAnsi" w:cstheme="majorHAnsi"/>
                <w:sz w:val="20"/>
                <w:szCs w:val="20"/>
                <w:highlight w:val="yellow"/>
              </w:rPr>
              <w:t xml:space="preserve">Increased risk: Family history </w:t>
            </w:r>
            <w:r w:rsidR="0009689B" w:rsidRPr="00B92402">
              <w:rPr>
                <w:rFonts w:asciiTheme="majorHAnsi" w:hAnsiTheme="majorHAnsi" w:cstheme="majorHAnsi"/>
                <w:sz w:val="20"/>
                <w:szCs w:val="20"/>
                <w:highlight w:val="yellow"/>
              </w:rPr>
              <w:t xml:space="preserve">of glaucoma </w:t>
            </w:r>
            <w:r w:rsidR="00B92402" w:rsidRPr="00B92402">
              <w:rPr>
                <w:rFonts w:asciiTheme="majorHAnsi" w:hAnsiTheme="majorHAnsi" w:cstheme="majorHAnsi"/>
                <w:sz w:val="20"/>
                <w:szCs w:val="20"/>
                <w:highlight w:val="yellow"/>
              </w:rPr>
              <w:t>(first-degree relatives)</w:t>
            </w:r>
          </w:p>
          <w:p w14:paraId="04625867" w14:textId="77777777" w:rsidR="005C0C10" w:rsidRPr="00E53B34" w:rsidRDefault="005C0C10" w:rsidP="005C0C10">
            <w:pPr>
              <w:spacing w:after="34" w:line="259" w:lineRule="auto"/>
              <w:ind w:left="111"/>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E53B34">
              <w:rPr>
                <w:rFonts w:asciiTheme="majorHAnsi" w:hAnsiTheme="majorHAnsi" w:cstheme="majorHAnsi"/>
                <w:sz w:val="20"/>
                <w:szCs w:val="20"/>
              </w:rPr>
              <w:t>Higher risk: Patients aged &gt;50 years with:</w:t>
            </w:r>
          </w:p>
          <w:p w14:paraId="4BE62575" w14:textId="77777777" w:rsidR="005C0C10" w:rsidRPr="00E53B34" w:rsidRDefault="005C0C10" w:rsidP="005C0C10">
            <w:pPr>
              <w:numPr>
                <w:ilvl w:val="0"/>
                <w:numId w:val="30"/>
              </w:numPr>
              <w:spacing w:after="34" w:line="259" w:lineRule="auto"/>
              <w:ind w:left="183" w:hanging="142"/>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E53B34">
              <w:rPr>
                <w:rFonts w:asciiTheme="majorHAnsi" w:hAnsiTheme="majorHAnsi" w:cstheme="majorHAnsi"/>
                <w:sz w:val="20"/>
                <w:szCs w:val="20"/>
              </w:rPr>
              <w:t>diabetes</w:t>
            </w:r>
          </w:p>
          <w:p w14:paraId="5737E2A1" w14:textId="77777777" w:rsidR="005C0C10" w:rsidRPr="00E53B34" w:rsidRDefault="005C0C10" w:rsidP="005C0C10">
            <w:pPr>
              <w:numPr>
                <w:ilvl w:val="0"/>
                <w:numId w:val="30"/>
              </w:numPr>
              <w:spacing w:after="34" w:line="259" w:lineRule="auto"/>
              <w:ind w:left="183" w:hanging="142"/>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E53B34">
              <w:rPr>
                <w:rFonts w:asciiTheme="majorHAnsi" w:hAnsiTheme="majorHAnsi" w:cstheme="majorHAnsi"/>
                <w:sz w:val="20"/>
                <w:szCs w:val="20"/>
              </w:rPr>
              <w:t>myopia</w:t>
            </w:r>
          </w:p>
          <w:p w14:paraId="15FE0E43" w14:textId="77777777" w:rsidR="005C0C10" w:rsidRPr="00E53B34" w:rsidRDefault="005C0C10" w:rsidP="005C0C10">
            <w:pPr>
              <w:numPr>
                <w:ilvl w:val="0"/>
                <w:numId w:val="30"/>
              </w:numPr>
              <w:spacing w:after="34" w:line="259" w:lineRule="auto"/>
              <w:ind w:left="183" w:hanging="142"/>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E53B34">
              <w:rPr>
                <w:rFonts w:asciiTheme="majorHAnsi" w:hAnsiTheme="majorHAnsi" w:cstheme="majorHAnsi"/>
                <w:sz w:val="20"/>
                <w:szCs w:val="20"/>
              </w:rPr>
              <w:t>long-term steroid use</w:t>
            </w:r>
          </w:p>
          <w:p w14:paraId="4E75D6AA" w14:textId="77777777" w:rsidR="005C0C10" w:rsidRPr="00E53B34" w:rsidRDefault="005C0C10" w:rsidP="005C0C10">
            <w:pPr>
              <w:numPr>
                <w:ilvl w:val="0"/>
                <w:numId w:val="30"/>
              </w:numPr>
              <w:spacing w:after="34" w:line="259" w:lineRule="auto"/>
              <w:ind w:left="183" w:hanging="142"/>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E53B34">
              <w:rPr>
                <w:rFonts w:asciiTheme="majorHAnsi" w:hAnsiTheme="majorHAnsi" w:cstheme="majorHAnsi"/>
                <w:sz w:val="20"/>
                <w:szCs w:val="20"/>
              </w:rPr>
              <w:t>migraine and peripheral vasospasm</w:t>
            </w:r>
          </w:p>
          <w:p w14:paraId="19B905B0" w14:textId="77777777" w:rsidR="005C0C10" w:rsidRPr="00E53B34" w:rsidRDefault="005C0C10" w:rsidP="005C0C10">
            <w:pPr>
              <w:numPr>
                <w:ilvl w:val="0"/>
                <w:numId w:val="30"/>
              </w:numPr>
              <w:spacing w:after="34" w:line="259" w:lineRule="auto"/>
              <w:ind w:left="183" w:hanging="142"/>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E53B34">
              <w:rPr>
                <w:rFonts w:asciiTheme="majorHAnsi" w:hAnsiTheme="majorHAnsi" w:cstheme="majorHAnsi"/>
                <w:sz w:val="20"/>
                <w:szCs w:val="20"/>
              </w:rPr>
              <w:t>abnormal blood pressure (BP)</w:t>
            </w:r>
          </w:p>
          <w:p w14:paraId="6A1BE0D0" w14:textId="77777777" w:rsidR="005C0C10" w:rsidRDefault="005C0C10" w:rsidP="005C0C10">
            <w:pPr>
              <w:numPr>
                <w:ilvl w:val="0"/>
                <w:numId w:val="30"/>
              </w:numPr>
              <w:spacing w:after="34" w:line="259" w:lineRule="auto"/>
              <w:ind w:left="183" w:hanging="142"/>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E53B34">
              <w:rPr>
                <w:rFonts w:asciiTheme="majorHAnsi" w:hAnsiTheme="majorHAnsi" w:cstheme="majorHAnsi"/>
                <w:sz w:val="20"/>
                <w:szCs w:val="20"/>
              </w:rPr>
              <w:t>history of eye trauma</w:t>
            </w:r>
          </w:p>
          <w:p w14:paraId="4A8C8E63" w14:textId="77777777" w:rsidR="00900674" w:rsidRPr="00E53B34" w:rsidRDefault="00900674" w:rsidP="005C0C10">
            <w:pPr>
              <w:numPr>
                <w:ilvl w:val="0"/>
                <w:numId w:val="30"/>
              </w:numPr>
              <w:spacing w:after="34" w:line="259" w:lineRule="auto"/>
              <w:ind w:left="183" w:hanging="142"/>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B92402">
              <w:rPr>
                <w:rFonts w:asciiTheme="majorHAnsi" w:hAnsiTheme="majorHAnsi" w:cstheme="majorHAnsi"/>
                <w:sz w:val="20"/>
                <w:szCs w:val="20"/>
                <w:highlight w:val="yellow"/>
              </w:rPr>
              <w:t>diabetes</w:t>
            </w:r>
          </w:p>
        </w:tc>
        <w:tc>
          <w:tcPr>
            <w:tcW w:w="4820"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0D3F4B5A" w14:textId="77777777" w:rsidR="005C0C10" w:rsidRPr="000714F9" w:rsidRDefault="005C0C10" w:rsidP="005C0C10">
            <w:pPr>
              <w:spacing w:line="266" w:lineRule="auto"/>
              <w:ind w:right="249"/>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E53B34">
              <w:rPr>
                <w:rFonts w:asciiTheme="majorHAnsi" w:hAnsiTheme="majorHAnsi" w:cstheme="majorHAnsi"/>
                <w:sz w:val="20"/>
                <w:szCs w:val="20"/>
              </w:rPr>
              <w:t xml:space="preserve">Refer for examination of the optic nerve head (ophthalmoscopy), measurement of </w:t>
            </w:r>
            <w:r w:rsidRPr="000714F9">
              <w:rPr>
                <w:rFonts w:asciiTheme="majorHAnsi" w:hAnsiTheme="majorHAnsi" w:cstheme="majorHAnsi"/>
                <w:sz w:val="20"/>
                <w:szCs w:val="20"/>
              </w:rPr>
              <w:t>intraocular pressure (tonometry),</w:t>
            </w:r>
          </w:p>
          <w:p w14:paraId="503A77F0" w14:textId="77777777" w:rsidR="005C0C10" w:rsidRPr="000714F9" w:rsidRDefault="005C0C10" w:rsidP="005C0C10">
            <w:pPr>
              <w:spacing w:after="99" w:line="26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0714F9">
              <w:rPr>
                <w:rFonts w:asciiTheme="majorHAnsi" w:hAnsiTheme="majorHAnsi" w:cstheme="majorHAnsi"/>
                <w:sz w:val="20"/>
                <w:szCs w:val="20"/>
              </w:rPr>
              <w:t xml:space="preserve">assessment of visual fields (perimetry)* </w:t>
            </w:r>
            <w:r w:rsidRPr="000714F9">
              <w:rPr>
                <w:rFonts w:asciiTheme="majorHAnsi" w:hAnsiTheme="majorHAnsi" w:cstheme="majorHAnsi"/>
                <w:sz w:val="20"/>
                <w:szCs w:val="20"/>
                <w:highlight w:val="yellow"/>
              </w:rPr>
              <w:t>and diagnostic optic nerve and retinal nerve fibre layer imaging (e.g. optical coherence tomography).</w:t>
            </w:r>
            <w:r w:rsidRPr="000714F9">
              <w:rPr>
                <w:rStyle w:val="FootnoteReference"/>
                <w:rFonts w:asciiTheme="majorHAnsi" w:hAnsiTheme="majorHAnsi" w:cstheme="majorHAnsi"/>
                <w:sz w:val="20"/>
                <w:szCs w:val="20"/>
              </w:rPr>
              <w:t xml:space="preserve"> </w:t>
            </w:r>
            <w:r w:rsidRPr="000714F9">
              <w:rPr>
                <w:rStyle w:val="FootnoteReference"/>
                <w:rFonts w:asciiTheme="majorHAnsi" w:hAnsiTheme="majorHAnsi" w:cstheme="majorHAnsi"/>
                <w:sz w:val="20"/>
                <w:szCs w:val="20"/>
              </w:rPr>
              <w:footnoteReference w:id="6"/>
            </w:r>
          </w:p>
          <w:p w14:paraId="6E180D86" w14:textId="77777777" w:rsidR="00FA0A65" w:rsidRPr="00E53B34" w:rsidRDefault="00FA0A65" w:rsidP="005C0C10">
            <w:pPr>
              <w:spacing w:after="99" w:line="26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0714F9">
              <w:rPr>
                <w:rFonts w:asciiTheme="majorHAnsi" w:hAnsiTheme="majorHAnsi" w:cstheme="majorHAnsi"/>
                <w:sz w:val="20"/>
                <w:szCs w:val="20"/>
                <w:highlight w:val="yellow"/>
              </w:rPr>
              <w:t xml:space="preserve">Adherence to RANZCO referral pathway for glaucoma management is recommended. </w:t>
            </w:r>
            <w:r w:rsidRPr="000714F9">
              <w:rPr>
                <w:rStyle w:val="FootnoteReference"/>
                <w:rFonts w:asciiTheme="majorHAnsi" w:hAnsiTheme="majorHAnsi" w:cstheme="majorHAnsi"/>
                <w:sz w:val="20"/>
                <w:szCs w:val="20"/>
                <w:highlight w:val="yellow"/>
              </w:rPr>
              <w:footnoteReference w:id="7"/>
            </w:r>
          </w:p>
        </w:tc>
        <w:tc>
          <w:tcPr>
            <w:tcW w:w="1275"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2BCBB7A1" w14:textId="77777777" w:rsidR="005C0C10" w:rsidRPr="00E53B34" w:rsidRDefault="005C0C10" w:rsidP="000C7844">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r>
      <w:tr w:rsidR="005C0C10" w:rsidRPr="00E53B34" w14:paraId="5A2AB13E" w14:textId="77777777" w:rsidTr="001150BC">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45CBF389" w14:textId="77777777" w:rsidR="005C0C10" w:rsidRPr="007443D9" w:rsidRDefault="005C0C10" w:rsidP="00EA427E">
            <w:pPr>
              <w:pStyle w:val="Heading3"/>
              <w:outlineLvl w:val="2"/>
              <w:rPr>
                <w:rFonts w:cstheme="majorHAnsi"/>
                <w:b/>
                <w:sz w:val="20"/>
                <w:szCs w:val="20"/>
              </w:rPr>
            </w:pPr>
            <w:r w:rsidRPr="007443D9">
              <w:rPr>
                <w:rFonts w:cstheme="majorHAnsi"/>
                <w:b/>
                <w:sz w:val="20"/>
                <w:szCs w:val="20"/>
              </w:rPr>
              <w:t xml:space="preserve">Table 12.2 </w:t>
            </w:r>
          </w:p>
        </w:tc>
        <w:tc>
          <w:tcPr>
            <w:tcW w:w="1417"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3C4A9893" w14:textId="77777777" w:rsidR="005C0C10" w:rsidRPr="00E53B34" w:rsidRDefault="00375653" w:rsidP="008E07ED">
            <w:pPr>
              <w:spacing w:after="34"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E53B34">
              <w:rPr>
                <w:rFonts w:asciiTheme="majorHAnsi" w:hAnsiTheme="majorHAnsi" w:cstheme="majorHAnsi"/>
                <w:sz w:val="20"/>
                <w:szCs w:val="20"/>
              </w:rPr>
              <w:t xml:space="preserve">Assessment of eye structure </w:t>
            </w:r>
            <w:r w:rsidRPr="00E756DF">
              <w:rPr>
                <w:rFonts w:asciiTheme="majorHAnsi" w:hAnsiTheme="majorHAnsi" w:cstheme="majorHAnsi"/>
                <w:sz w:val="18"/>
                <w:szCs w:val="18"/>
              </w:rPr>
              <w:t>(ophthalmoscopy)</w:t>
            </w:r>
          </w:p>
        </w:tc>
        <w:tc>
          <w:tcPr>
            <w:tcW w:w="4820"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14CC1606" w14:textId="77777777" w:rsidR="005C0C10" w:rsidRPr="000714F9" w:rsidRDefault="00375653" w:rsidP="005C0C10">
            <w:pPr>
              <w:spacing w:line="266" w:lineRule="auto"/>
              <w:ind w:right="249"/>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0714F9">
              <w:rPr>
                <w:rFonts w:asciiTheme="majorHAnsi" w:hAnsiTheme="majorHAnsi" w:cstheme="majorHAnsi"/>
                <w:sz w:val="20"/>
                <w:szCs w:val="20"/>
              </w:rPr>
              <w:t xml:space="preserve">Indirect ophthalmoscopy performed with a slit lamp </w:t>
            </w:r>
            <w:r w:rsidRPr="000714F9">
              <w:rPr>
                <w:rFonts w:asciiTheme="majorHAnsi" w:hAnsiTheme="majorHAnsi" w:cstheme="majorHAnsi"/>
                <w:sz w:val="20"/>
                <w:szCs w:val="20"/>
                <w:highlight w:val="yellow"/>
              </w:rPr>
              <w:t xml:space="preserve">and diagnostic optic nerve and retinal nerve fiber layer imaging (e.g. optical coherence tomography) </w:t>
            </w:r>
            <w:r w:rsidRPr="000714F9">
              <w:rPr>
                <w:rFonts w:asciiTheme="majorHAnsi" w:hAnsiTheme="majorHAnsi" w:cstheme="majorHAnsi"/>
                <w:sz w:val="20"/>
                <w:szCs w:val="20"/>
              </w:rPr>
              <w:t>are the examination</w:t>
            </w:r>
            <w:r w:rsidR="00E53B34" w:rsidRPr="000714F9">
              <w:rPr>
                <w:rFonts w:asciiTheme="majorHAnsi" w:hAnsiTheme="majorHAnsi" w:cstheme="majorHAnsi"/>
                <w:sz w:val="20"/>
                <w:szCs w:val="20"/>
              </w:rPr>
              <w:t>s</w:t>
            </w:r>
            <w:r w:rsidRPr="000714F9">
              <w:rPr>
                <w:rFonts w:asciiTheme="majorHAnsi" w:hAnsiTheme="majorHAnsi" w:cstheme="majorHAnsi"/>
                <w:sz w:val="20"/>
                <w:szCs w:val="20"/>
              </w:rPr>
              <w:t xml:space="preserve"> of choice</w:t>
            </w:r>
            <w:r w:rsidR="00E53B34" w:rsidRPr="000714F9">
              <w:rPr>
                <w:rFonts w:asciiTheme="majorHAnsi" w:hAnsiTheme="majorHAnsi" w:cstheme="majorHAnsi"/>
                <w:sz w:val="20"/>
                <w:szCs w:val="20"/>
              </w:rPr>
              <w:t>.</w:t>
            </w:r>
            <w:r w:rsidR="00FA0A65" w:rsidRPr="000714F9">
              <w:rPr>
                <w:rFonts w:asciiTheme="majorHAnsi" w:hAnsiTheme="majorHAnsi" w:cstheme="majorHAnsi"/>
                <w:sz w:val="20"/>
                <w:szCs w:val="20"/>
              </w:rPr>
              <w:t xml:space="preserve"> </w:t>
            </w:r>
            <w:r w:rsidR="00E53B34" w:rsidRPr="000714F9">
              <w:rPr>
                <w:rStyle w:val="FootnoteReference"/>
                <w:rFonts w:asciiTheme="majorHAnsi" w:hAnsiTheme="majorHAnsi" w:cstheme="majorHAnsi"/>
                <w:sz w:val="20"/>
                <w:szCs w:val="20"/>
              </w:rPr>
              <w:footnoteReference w:id="8"/>
            </w:r>
          </w:p>
          <w:p w14:paraId="747596C1" w14:textId="77777777" w:rsidR="00FA0A65" w:rsidRPr="00E53B34" w:rsidRDefault="00FA0A65" w:rsidP="005C0C10">
            <w:pPr>
              <w:spacing w:line="266" w:lineRule="auto"/>
              <w:ind w:right="249"/>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0714F9">
              <w:rPr>
                <w:rFonts w:asciiTheme="majorHAnsi" w:hAnsiTheme="majorHAnsi" w:cstheme="majorHAnsi"/>
                <w:sz w:val="20"/>
                <w:szCs w:val="20"/>
                <w:highlight w:val="yellow"/>
              </w:rPr>
              <w:t>Adherence to RANZCO referral pathway for glaucoma management is recommended.</w:t>
            </w:r>
            <w:r w:rsidRPr="000714F9">
              <w:rPr>
                <w:rStyle w:val="FootnoteReference"/>
                <w:rFonts w:asciiTheme="majorHAnsi" w:hAnsiTheme="majorHAnsi" w:cstheme="majorHAnsi"/>
                <w:sz w:val="20"/>
                <w:szCs w:val="20"/>
                <w:highlight w:val="yellow"/>
              </w:rPr>
              <w:footnoteReference w:id="9"/>
            </w:r>
          </w:p>
        </w:tc>
        <w:tc>
          <w:tcPr>
            <w:tcW w:w="1275" w:type="dxa"/>
            <w:tcBorders>
              <w:top w:val="single" w:sz="4" w:space="0" w:color="004B8D" w:themeColor="accent1"/>
              <w:left w:val="single" w:sz="4" w:space="0" w:color="004B8D" w:themeColor="accent1"/>
              <w:bottom w:val="single" w:sz="4" w:space="0" w:color="004B8D" w:themeColor="accent1"/>
              <w:right w:val="single" w:sz="4" w:space="0" w:color="004B8D" w:themeColor="accent1"/>
            </w:tcBorders>
          </w:tcPr>
          <w:p w14:paraId="5E255B41" w14:textId="77777777" w:rsidR="005C0C10" w:rsidRPr="00E53B34" w:rsidRDefault="005C0C10" w:rsidP="000C7844">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r>
    </w:tbl>
    <w:p w14:paraId="32DE6F31" w14:textId="77777777" w:rsidR="00F32FFF" w:rsidRDefault="00F32FFF" w:rsidP="001B2F09">
      <w:pPr>
        <w:pStyle w:val="Heading1"/>
      </w:pPr>
      <w:bookmarkStart w:id="5" w:name="_Ref54955782"/>
    </w:p>
    <w:p w14:paraId="1A5C7236" w14:textId="77777777" w:rsidR="00F32FFF" w:rsidRDefault="00F32FFF">
      <w:pPr>
        <w:spacing w:before="80" w:after="80"/>
        <w:rPr>
          <w:rFonts w:asciiTheme="majorHAnsi" w:eastAsia="Times New Roman" w:hAnsiTheme="majorHAnsi" w:cs="Arial"/>
          <w:b/>
          <w:bCs/>
          <w:color w:val="004B8D" w:themeColor="accent1"/>
          <w:kern w:val="32"/>
          <w:sz w:val="28"/>
          <w:szCs w:val="32"/>
          <w:lang w:eastAsia="en-AU"/>
        </w:rPr>
      </w:pPr>
      <w:r>
        <w:br w:type="page"/>
      </w:r>
    </w:p>
    <w:p w14:paraId="67963910" w14:textId="77777777" w:rsidR="001B2F09" w:rsidRDefault="001B2F09" w:rsidP="00F32FFF">
      <w:pPr>
        <w:pStyle w:val="Heading1"/>
      </w:pPr>
      <w:bookmarkStart w:id="6" w:name="_Ref56777729"/>
      <w:r w:rsidRPr="00F32FFF">
        <w:lastRenderedPageBreak/>
        <w:t>Attachment</w:t>
      </w:r>
      <w:r>
        <w:t xml:space="preserve"> 2:  Evidence Base</w:t>
      </w:r>
      <w:bookmarkEnd w:id="5"/>
      <w:bookmarkEnd w:id="6"/>
    </w:p>
    <w:p w14:paraId="0918048A" w14:textId="77777777" w:rsidR="001B2F09" w:rsidRPr="006619CA" w:rsidRDefault="001B2F09" w:rsidP="001B2F09">
      <w:pPr>
        <w:pStyle w:val="BodyText"/>
      </w:pPr>
      <w:r w:rsidRPr="006619CA">
        <w:t xml:space="preserve">The adapted evidentiary guide contained in the RACGP/NACCHO </w:t>
      </w:r>
      <w:r w:rsidRPr="006619CA">
        <w:rPr>
          <w:i/>
        </w:rPr>
        <w:t>National guide to a preventive health assessment for Aboriginal and Torres Strait Islander people, Third Edition 2018</w:t>
      </w:r>
      <w:r w:rsidRPr="006619CA">
        <w:t>, with included modifications to reflect the evidence related to other Australians.</w:t>
      </w:r>
    </w:p>
    <w:p w14:paraId="7972E0EB" w14:textId="77777777" w:rsidR="006619CA" w:rsidRPr="00C003CF" w:rsidRDefault="006619CA" w:rsidP="006619CA">
      <w:pPr>
        <w:pStyle w:val="Heading2"/>
      </w:pPr>
      <w:r w:rsidRPr="00C003CF">
        <w:t>Visual acuity</w:t>
      </w:r>
    </w:p>
    <w:p w14:paraId="472B9FD1" w14:textId="77777777" w:rsidR="006619CA" w:rsidRPr="00C003CF" w:rsidRDefault="006619CA" w:rsidP="006619CA">
      <w:pPr>
        <w:pStyle w:val="Heading3"/>
      </w:pPr>
      <w:r w:rsidRPr="00C003CF">
        <w:t>Background</w:t>
      </w:r>
    </w:p>
    <w:p w14:paraId="6F9EE5EC" w14:textId="77777777" w:rsidR="006619CA" w:rsidRPr="00EC3697" w:rsidRDefault="006619CA" w:rsidP="006619CA">
      <w:pPr>
        <w:pStyle w:val="BodyText"/>
        <w:rPr>
          <w:rFonts w:eastAsia="HelveticaNeueLTStd-Lt"/>
          <w:szCs w:val="22"/>
        </w:rPr>
      </w:pPr>
      <w:r w:rsidRPr="00EC3697">
        <w:rPr>
          <w:rFonts w:eastAsia="HelveticaNeueLTStd-Lt"/>
          <w:szCs w:val="22"/>
        </w:rPr>
        <w:t>Eye health is critical to quality of life. In 2016, more than 453,000 Australians were living with vision impairment or blindness. Based on the 2016 National Eye Health Survey (NEHS) and age-adjusted population data, it is estimated up to 432,800 non-Indigenous Australians aged 50 years  or older, and up to 18,300 Aboriginal and Torres Strait Islander people aged 40 years or older have visual impairment.</w:t>
      </w:r>
      <w:r w:rsidRPr="00EC3697">
        <w:rPr>
          <w:rFonts w:eastAsia="HelveticaNeueLTStd-Lt"/>
          <w:szCs w:val="22"/>
          <w:vertAlign w:val="superscript"/>
        </w:rPr>
        <w:t>1</w:t>
      </w:r>
      <w:r w:rsidRPr="00EC3697">
        <w:rPr>
          <w:rFonts w:eastAsia="HelveticaNeueLTStd-Lt"/>
          <w:szCs w:val="22"/>
        </w:rPr>
        <w:t xml:space="preserve"> Approximately 90% of vision impairment and blindness among both Aboriginal and Torres Strait Islander people and non-Indigenous Australians is preventable or treatable.</w:t>
      </w:r>
      <w:r w:rsidRPr="00EC3697">
        <w:rPr>
          <w:rFonts w:eastAsia="HelveticaNeueLTStd-Lt"/>
          <w:szCs w:val="22"/>
          <w:vertAlign w:val="superscript"/>
        </w:rPr>
        <w:t>1</w:t>
      </w:r>
      <w:r w:rsidRPr="00EC3697">
        <w:rPr>
          <w:rFonts w:eastAsia="HelveticaNeueLTStd-Lt"/>
          <w:szCs w:val="22"/>
        </w:rPr>
        <w:t xml:space="preserve"> </w:t>
      </w:r>
    </w:p>
    <w:p w14:paraId="3DE77623" w14:textId="77777777" w:rsidR="006619CA" w:rsidRPr="00EC3697" w:rsidRDefault="006619CA" w:rsidP="006619CA">
      <w:pPr>
        <w:pStyle w:val="BodyText"/>
        <w:rPr>
          <w:rFonts w:asciiTheme="majorHAnsi" w:eastAsia="HelveticaNeueLTStd-Lt" w:hAnsiTheme="majorHAnsi" w:cstheme="majorHAnsi"/>
          <w:color w:val="000000"/>
          <w:szCs w:val="22"/>
        </w:rPr>
      </w:pPr>
      <w:r w:rsidRPr="00EC3697">
        <w:rPr>
          <w:rFonts w:eastAsia="HelveticaNeueLTStd-Lt"/>
          <w:szCs w:val="22"/>
        </w:rPr>
        <w:t xml:space="preserve">In the 2016 NEHS, </w:t>
      </w:r>
      <w:r w:rsidRPr="00EC3697">
        <w:rPr>
          <w:rFonts w:asciiTheme="majorHAnsi" w:eastAsia="HelveticaNeueLTStd-Lt" w:hAnsiTheme="majorHAnsi" w:cstheme="majorHAnsi"/>
          <w:color w:val="000000"/>
          <w:szCs w:val="22"/>
        </w:rPr>
        <w:t>a person with vision impairment was defined as having visual acuity between &lt;6/12 and 6/60 in the better eye and a person with blindness was defined as having visual acuity &lt;6/60 in the better eye.</w:t>
      </w:r>
      <w:r w:rsidRPr="00EC3697">
        <w:rPr>
          <w:rFonts w:asciiTheme="majorHAnsi" w:eastAsia="HelveticaNeueLTStd-Lt" w:hAnsiTheme="majorHAnsi" w:cstheme="majorHAnsi"/>
          <w:color w:val="000000"/>
          <w:szCs w:val="22"/>
          <w:vertAlign w:val="superscript"/>
        </w:rPr>
        <w:t>1</w:t>
      </w:r>
      <w:r w:rsidRPr="00EC3697">
        <w:rPr>
          <w:rFonts w:asciiTheme="majorHAnsi" w:eastAsia="HelveticaNeueLTStd-Lt" w:hAnsiTheme="majorHAnsi" w:cstheme="majorHAnsi"/>
          <w:color w:val="000000"/>
          <w:szCs w:val="22"/>
        </w:rPr>
        <w:t xml:space="preserve"> </w:t>
      </w:r>
    </w:p>
    <w:p w14:paraId="73ABE9AA" w14:textId="77777777" w:rsidR="006619CA" w:rsidRPr="00EC3697" w:rsidRDefault="006619CA" w:rsidP="006619CA">
      <w:pPr>
        <w:pStyle w:val="BodyText"/>
        <w:rPr>
          <w:rFonts w:asciiTheme="majorHAnsi" w:eastAsia="HelveticaNeueLTStd-Lt" w:hAnsiTheme="majorHAnsi" w:cstheme="majorHAnsi"/>
          <w:color w:val="000000"/>
          <w:szCs w:val="22"/>
        </w:rPr>
      </w:pPr>
      <w:r w:rsidRPr="00EC3697">
        <w:rPr>
          <w:rFonts w:asciiTheme="majorHAnsi" w:eastAsia="HelveticaNeueLTStd-Lt" w:hAnsiTheme="majorHAnsi" w:cstheme="majorHAnsi"/>
          <w:color w:val="000000"/>
          <w:szCs w:val="22"/>
        </w:rPr>
        <w:t>Impaired vision often goes unrecognised and contributes significantly to morbidity.</w:t>
      </w:r>
      <w:r w:rsidRPr="00EC3697">
        <w:rPr>
          <w:rFonts w:asciiTheme="majorHAnsi" w:eastAsia="HelveticaNeueLTStd-Lt" w:hAnsiTheme="majorHAnsi" w:cstheme="majorHAnsi"/>
          <w:color w:val="000000"/>
          <w:szCs w:val="22"/>
          <w:vertAlign w:val="superscript"/>
        </w:rPr>
        <w:t>2</w:t>
      </w:r>
      <w:r w:rsidRPr="00EC3697">
        <w:rPr>
          <w:rFonts w:asciiTheme="majorHAnsi" w:eastAsia="HelveticaNeueLTStd-Lt" w:hAnsiTheme="majorHAnsi" w:cstheme="majorHAnsi"/>
          <w:color w:val="000000"/>
          <w:szCs w:val="22"/>
        </w:rPr>
        <w:t xml:space="preserve"> </w:t>
      </w:r>
      <w:r>
        <w:rPr>
          <w:rFonts w:asciiTheme="majorHAnsi" w:eastAsia="HelveticaNeueLTStd-Lt" w:hAnsiTheme="majorHAnsi" w:cstheme="majorHAnsi"/>
          <w:color w:val="000000"/>
          <w:szCs w:val="22"/>
        </w:rPr>
        <w:t>Eye and sight problems are a common self-reported long-term health condition.</w:t>
      </w:r>
      <w:r w:rsidRPr="007C7262">
        <w:rPr>
          <w:rFonts w:asciiTheme="majorHAnsi" w:eastAsia="HelveticaNeueLTStd-Lt" w:hAnsiTheme="majorHAnsi" w:cstheme="majorHAnsi"/>
          <w:color w:val="000000"/>
          <w:szCs w:val="22"/>
          <w:vertAlign w:val="superscript"/>
        </w:rPr>
        <w:t>3,4</w:t>
      </w:r>
    </w:p>
    <w:p w14:paraId="25300D81" w14:textId="77777777" w:rsidR="006619CA" w:rsidRPr="00EC3697" w:rsidRDefault="006619CA" w:rsidP="006619CA">
      <w:pPr>
        <w:pStyle w:val="BodyText"/>
        <w:rPr>
          <w:rFonts w:asciiTheme="majorHAnsi" w:eastAsia="HelveticaNeueLTStd-Lt" w:hAnsiTheme="majorHAnsi" w:cstheme="majorHAnsi"/>
          <w:color w:val="000000"/>
          <w:szCs w:val="22"/>
        </w:rPr>
      </w:pPr>
      <w:r w:rsidRPr="00EC3697">
        <w:rPr>
          <w:rFonts w:asciiTheme="majorHAnsi" w:eastAsia="HelveticaNeueLTStd-Lt" w:hAnsiTheme="majorHAnsi" w:cstheme="majorHAnsi"/>
          <w:color w:val="000000"/>
          <w:szCs w:val="22"/>
        </w:rPr>
        <w:t>In the elderly, visual impairment is a risk factor for falls, hip fractures, depression, social and functional decline and increased mortality.</w:t>
      </w:r>
      <w:r w:rsidRPr="00B30206">
        <w:rPr>
          <w:rFonts w:asciiTheme="majorHAnsi" w:eastAsia="HelveticaNeueLTStd-Lt" w:hAnsiTheme="majorHAnsi" w:cstheme="majorHAnsi"/>
          <w:color w:val="000000"/>
          <w:szCs w:val="22"/>
          <w:vertAlign w:val="superscript"/>
        </w:rPr>
        <w:t>5-10</w:t>
      </w:r>
      <w:r w:rsidRPr="00EC3697">
        <w:rPr>
          <w:rFonts w:asciiTheme="majorHAnsi" w:eastAsia="HelveticaNeueLTStd-Lt" w:hAnsiTheme="majorHAnsi" w:cstheme="majorHAnsi"/>
          <w:color w:val="000000"/>
          <w:szCs w:val="22"/>
        </w:rPr>
        <w:t xml:space="preserve"> </w:t>
      </w:r>
    </w:p>
    <w:p w14:paraId="3F82D352" w14:textId="77777777" w:rsidR="006619CA" w:rsidRPr="00EC3697" w:rsidRDefault="006619CA" w:rsidP="006619CA">
      <w:pPr>
        <w:pStyle w:val="BodyText"/>
        <w:rPr>
          <w:rFonts w:asciiTheme="majorHAnsi" w:eastAsia="HelveticaNeueLTStd-Lt" w:hAnsiTheme="majorHAnsi" w:cstheme="majorHAnsi"/>
          <w:color w:val="000000"/>
          <w:szCs w:val="22"/>
        </w:rPr>
      </w:pPr>
      <w:r w:rsidRPr="00EC3697">
        <w:rPr>
          <w:rFonts w:asciiTheme="majorHAnsi" w:eastAsia="HelveticaNeueLTStd-Lt" w:hAnsiTheme="majorHAnsi" w:cstheme="majorHAnsi"/>
          <w:color w:val="000000"/>
          <w:szCs w:val="22"/>
        </w:rPr>
        <w:t>There is no significant difference in the prevalence of vision impairment between males and females, however, the prevalence of vision impairment increases markedly with age.</w:t>
      </w:r>
      <w:r w:rsidRPr="00EC3697">
        <w:rPr>
          <w:rFonts w:asciiTheme="majorHAnsi" w:eastAsia="HelveticaNeueLTStd-Lt" w:hAnsiTheme="majorHAnsi" w:cstheme="majorHAnsi"/>
          <w:color w:val="000000"/>
          <w:szCs w:val="22"/>
          <w:vertAlign w:val="superscript"/>
        </w:rPr>
        <w:t>1</w:t>
      </w:r>
    </w:p>
    <w:p w14:paraId="18F1D93E" w14:textId="77777777" w:rsidR="006619CA" w:rsidRPr="00EC3697" w:rsidRDefault="006619CA" w:rsidP="006619CA">
      <w:pPr>
        <w:pStyle w:val="BodyText"/>
        <w:rPr>
          <w:rFonts w:asciiTheme="majorHAnsi" w:eastAsia="HelveticaNeueLTStd-Lt" w:hAnsiTheme="majorHAnsi" w:cstheme="majorHAnsi"/>
          <w:color w:val="000000"/>
          <w:szCs w:val="22"/>
        </w:rPr>
      </w:pPr>
      <w:r w:rsidRPr="00EC3697">
        <w:rPr>
          <w:rFonts w:asciiTheme="majorHAnsi" w:eastAsia="HelveticaNeueLTStd-Lt" w:hAnsiTheme="majorHAnsi" w:cstheme="majorHAnsi"/>
          <w:color w:val="000000"/>
          <w:szCs w:val="22"/>
        </w:rPr>
        <w:t xml:space="preserve">The age-adjusted prevalence of vision impairment in non-Indigenous Australians </w:t>
      </w:r>
      <w:r w:rsidR="00DE2453" w:rsidRPr="00EC3697">
        <w:rPr>
          <w:rFonts w:asciiTheme="majorHAnsi" w:eastAsia="HelveticaNeueLTStd-Lt" w:hAnsiTheme="majorHAnsi" w:cstheme="majorHAnsi"/>
          <w:color w:val="000000"/>
          <w:szCs w:val="22"/>
        </w:rPr>
        <w:t>is</w:t>
      </w:r>
      <w:r w:rsidRPr="00EC3697">
        <w:rPr>
          <w:rFonts w:asciiTheme="majorHAnsi" w:eastAsia="HelveticaNeueLTStd-Lt" w:hAnsiTheme="majorHAnsi" w:cstheme="majorHAnsi"/>
          <w:color w:val="000000"/>
          <w:szCs w:val="22"/>
        </w:rPr>
        <w:t xml:space="preserve"> 4.57%, with Aboriginal and Torres Strait Islander peoples exhibiting a rate three times higher (13.6%).</w:t>
      </w:r>
      <w:r w:rsidRPr="00EC3697">
        <w:rPr>
          <w:rFonts w:asciiTheme="majorHAnsi" w:eastAsia="HelveticaNeueLTStd-Lt" w:hAnsiTheme="majorHAnsi" w:cstheme="majorHAnsi"/>
          <w:color w:val="000000"/>
          <w:szCs w:val="22"/>
          <w:vertAlign w:val="superscript"/>
        </w:rPr>
        <w:t>1</w:t>
      </w:r>
      <w:r w:rsidRPr="00EC3697">
        <w:rPr>
          <w:rFonts w:asciiTheme="majorHAnsi" w:eastAsia="HelveticaNeueLTStd-Lt" w:hAnsiTheme="majorHAnsi" w:cstheme="majorHAnsi"/>
          <w:color w:val="000000"/>
          <w:szCs w:val="22"/>
        </w:rPr>
        <w:t xml:space="preserve"> Similarly, the age-adjusted prevalence of blindness</w:t>
      </w:r>
      <w:r w:rsidRPr="00EC3697">
        <w:rPr>
          <w:rFonts w:eastAsia="HelveticaNeueLTStd-Lt"/>
          <w:szCs w:val="22"/>
        </w:rPr>
        <w:t xml:space="preserve"> </w:t>
      </w:r>
      <w:r w:rsidRPr="00EC3697">
        <w:rPr>
          <w:rFonts w:asciiTheme="majorHAnsi" w:eastAsia="HelveticaNeueLTStd-Lt" w:hAnsiTheme="majorHAnsi" w:cstheme="majorHAnsi"/>
          <w:color w:val="000000"/>
          <w:szCs w:val="22"/>
        </w:rPr>
        <w:t>in Aboriginal and Torres Strait Islander peoples is three times higher compared to non-Indigenous Australians (0.36% versus 0.12%).</w:t>
      </w:r>
      <w:r w:rsidRPr="00EC3697">
        <w:rPr>
          <w:rFonts w:asciiTheme="majorHAnsi" w:eastAsia="HelveticaNeueLTStd-Lt" w:hAnsiTheme="majorHAnsi" w:cstheme="majorHAnsi"/>
          <w:color w:val="000000"/>
          <w:szCs w:val="22"/>
          <w:vertAlign w:val="superscript"/>
        </w:rPr>
        <w:t>1</w:t>
      </w:r>
      <w:r w:rsidRPr="00EC3697">
        <w:rPr>
          <w:rFonts w:asciiTheme="majorHAnsi" w:eastAsia="HelveticaNeueLTStd-Lt" w:hAnsiTheme="majorHAnsi" w:cstheme="majorHAnsi"/>
          <w:color w:val="000000"/>
          <w:szCs w:val="22"/>
        </w:rPr>
        <w:t xml:space="preserve"> </w:t>
      </w:r>
    </w:p>
    <w:p w14:paraId="1127DAF2" w14:textId="77777777" w:rsidR="006619CA" w:rsidRPr="00EC3697" w:rsidRDefault="006619CA" w:rsidP="006619CA">
      <w:pPr>
        <w:pStyle w:val="BodyText"/>
        <w:rPr>
          <w:rFonts w:asciiTheme="majorHAnsi" w:eastAsia="HelveticaNeueLTStd-Lt" w:hAnsiTheme="majorHAnsi" w:cstheme="majorHAnsi"/>
          <w:color w:val="000000"/>
          <w:szCs w:val="22"/>
          <w:vertAlign w:val="superscript"/>
        </w:rPr>
      </w:pPr>
      <w:r w:rsidRPr="00EC3697">
        <w:rPr>
          <w:rFonts w:asciiTheme="majorHAnsi" w:eastAsia="HelveticaNeueLTStd-Lt" w:hAnsiTheme="majorHAnsi" w:cstheme="majorHAnsi"/>
          <w:color w:val="000000"/>
          <w:szCs w:val="22"/>
        </w:rPr>
        <w:t>The main causes of vision impairment are: uncorrected refractive error (approximately 60% in both non-Indigenous Australians and Aboriginal and Torres Strait Islander peoples) and cataract (13.9% in non-Indigenous Australians and 20.2% in Aboriginal and Torres Strait Islander peoples). This highlights that approximately 80% of vision impairment is treatable with spectacle correction or cataract surgery.</w:t>
      </w:r>
      <w:r w:rsidRPr="00EC3697">
        <w:rPr>
          <w:rFonts w:asciiTheme="majorHAnsi" w:eastAsia="HelveticaNeueLTStd-Lt" w:hAnsiTheme="majorHAnsi" w:cstheme="majorHAnsi"/>
          <w:color w:val="000000"/>
          <w:szCs w:val="22"/>
          <w:vertAlign w:val="superscript"/>
        </w:rPr>
        <w:t xml:space="preserve">1 </w:t>
      </w:r>
    </w:p>
    <w:p w14:paraId="41072AF7" w14:textId="77777777" w:rsidR="006619CA" w:rsidRPr="00FF1EBD" w:rsidRDefault="006619CA" w:rsidP="006619CA">
      <w:pPr>
        <w:pStyle w:val="BodyText"/>
        <w:rPr>
          <w:rFonts w:ascii="Arial" w:hAnsi="Arial" w:cs="Arial"/>
          <w:spacing w:val="-2"/>
          <w:szCs w:val="22"/>
        </w:rPr>
      </w:pPr>
      <w:r w:rsidRPr="00EC3697">
        <w:rPr>
          <w:rFonts w:asciiTheme="majorHAnsi" w:eastAsia="HelveticaNeueLTStd-Lt" w:hAnsiTheme="majorHAnsi" w:cstheme="majorHAnsi"/>
          <w:color w:val="000000"/>
          <w:szCs w:val="22"/>
        </w:rPr>
        <w:t xml:space="preserve">Other notable causes of vision impairment were age-related macular degeneration in non-Indigenous Australians (8.96% compared with 1.09% in Aboriginal and Torres Strait Islander peoples), </w:t>
      </w:r>
      <w:r w:rsidRPr="00EC3697">
        <w:rPr>
          <w:rFonts w:ascii="Arial" w:hAnsi="Arial" w:cs="Arial"/>
          <w:spacing w:val="1"/>
          <w:szCs w:val="22"/>
        </w:rPr>
        <w:t xml:space="preserve">and diabetic retinopathy in Aboriginal and Torres Strait Islander peoples (5.46% </w:t>
      </w:r>
      <w:r w:rsidRPr="00EC3697">
        <w:rPr>
          <w:rFonts w:ascii="Arial" w:hAnsi="Arial" w:cs="Arial"/>
          <w:spacing w:val="-2"/>
          <w:szCs w:val="22"/>
        </w:rPr>
        <w:t>compared with 1.49% in non-Indigenous Australians). Glaucoma accounts for 1.49% and 0.55% of vision impairment in non-Indigenous and Aboriginal and Torres Strait Islander Australians, respectively.</w:t>
      </w:r>
      <w:r w:rsidRPr="00EC3697">
        <w:rPr>
          <w:rFonts w:ascii="Arial" w:hAnsi="Arial" w:cs="Arial"/>
          <w:spacing w:val="-2"/>
          <w:szCs w:val="22"/>
          <w:vertAlign w:val="superscript"/>
        </w:rPr>
        <w:t>1</w:t>
      </w:r>
    </w:p>
    <w:p w14:paraId="4B081049" w14:textId="77777777" w:rsidR="006619CA" w:rsidRPr="00815583" w:rsidRDefault="006619CA" w:rsidP="006619CA">
      <w:pPr>
        <w:pStyle w:val="BodyText"/>
        <w:rPr>
          <w:rFonts w:eastAsia="HelveticaNeueLTStd-Lt" w:cstheme="minorHAnsi"/>
          <w:color w:val="000000"/>
        </w:rPr>
      </w:pPr>
      <w:r w:rsidRPr="00815583">
        <w:rPr>
          <w:rFonts w:eastAsia="HelveticaNeueLTStd-Lt" w:cstheme="minorHAnsi"/>
          <w:color w:val="000000"/>
        </w:rPr>
        <w:t>The primary cause of bilateral blindness in non-Indigenous Australians is age-related macular degeneration (71.4%).</w:t>
      </w:r>
      <w:r w:rsidRPr="00815583">
        <w:rPr>
          <w:rFonts w:eastAsia="HelveticaNeueLTStd-Lt" w:cstheme="minorHAnsi"/>
          <w:color w:val="000000"/>
          <w:vertAlign w:val="superscript"/>
        </w:rPr>
        <w:t>1</w:t>
      </w:r>
      <w:r w:rsidRPr="00815583">
        <w:rPr>
          <w:rFonts w:eastAsia="HelveticaNeueLTStd-Lt" w:cstheme="minorHAnsi"/>
          <w:color w:val="000000"/>
        </w:rPr>
        <w:t xml:space="preserve"> </w:t>
      </w:r>
    </w:p>
    <w:p w14:paraId="0F659019" w14:textId="77777777" w:rsidR="006619CA" w:rsidRPr="00815583" w:rsidRDefault="006619CA" w:rsidP="006619CA">
      <w:pPr>
        <w:pStyle w:val="BodyText"/>
        <w:rPr>
          <w:rFonts w:eastAsia="HelveticaNeueLTStd-Lt" w:cstheme="minorHAnsi"/>
          <w:color w:val="000000"/>
          <w:vertAlign w:val="superscript"/>
        </w:rPr>
      </w:pPr>
      <w:r w:rsidRPr="00815583">
        <w:rPr>
          <w:rFonts w:eastAsia="HelveticaNeueLTStd-Lt" w:cstheme="minorHAnsi"/>
          <w:color w:val="000000"/>
        </w:rPr>
        <w:lastRenderedPageBreak/>
        <w:t>Diabetic retinopathy (DR) is a significant cause of vision impairment, with prevalence of 1.5% in non-Indigenous Australians and 5.5% in Aboriginal and Torres Strait Islander individuals.</w:t>
      </w:r>
      <w:r w:rsidRPr="00815583">
        <w:rPr>
          <w:rFonts w:eastAsia="HelveticaNeueLTStd-Lt" w:cstheme="minorHAnsi"/>
          <w:color w:val="000000"/>
          <w:vertAlign w:val="superscript"/>
        </w:rPr>
        <w:t>1</w:t>
      </w:r>
    </w:p>
    <w:p w14:paraId="4655BED0" w14:textId="77777777" w:rsidR="006619CA" w:rsidRPr="00815583" w:rsidRDefault="006619CA" w:rsidP="006619CA">
      <w:pPr>
        <w:pStyle w:val="BodyText"/>
        <w:rPr>
          <w:rFonts w:eastAsia="HelveticaNeueLTStd-Lt" w:cstheme="minorHAnsi"/>
          <w:color w:val="000000"/>
        </w:rPr>
      </w:pPr>
      <w:r w:rsidRPr="00815583">
        <w:rPr>
          <w:rFonts w:eastAsia="HelveticaNeueLTStd-Lt" w:cstheme="minorHAnsi"/>
          <w:color w:val="000000"/>
        </w:rPr>
        <w:t>Cataract surgery occurs more often in non-Indigenous Australians than in Aboriginal and Torres Strait Islander people (87.6% versus 61.5%),</w:t>
      </w:r>
      <w:r w:rsidRPr="00815583">
        <w:rPr>
          <w:rFonts w:eastAsia="HelveticaNeueLTStd-Lt" w:cstheme="minorHAnsi"/>
          <w:color w:val="000000"/>
          <w:vertAlign w:val="superscript"/>
        </w:rPr>
        <w:t>1,14</w:t>
      </w:r>
      <w:r w:rsidRPr="00815583">
        <w:rPr>
          <w:rFonts w:eastAsia="HelveticaNeueLTStd-Lt" w:cstheme="minorHAnsi"/>
          <w:color w:val="000000"/>
        </w:rPr>
        <w:t xml:space="preserve"> and treatment coverage of refractive error in similarly higher for the non-Indigenous population (93.7% vs 83.3%).</w:t>
      </w:r>
      <w:r w:rsidRPr="00815583">
        <w:rPr>
          <w:rFonts w:eastAsia="HelveticaNeueLTStd-Lt" w:cstheme="minorHAnsi"/>
          <w:color w:val="000000"/>
          <w:vertAlign w:val="superscript"/>
        </w:rPr>
        <w:t>1</w:t>
      </w:r>
      <w:r w:rsidRPr="00815583">
        <w:rPr>
          <w:rFonts w:eastAsia="HelveticaNeueLTStd-Lt" w:cstheme="minorHAnsi"/>
          <w:color w:val="000000"/>
        </w:rPr>
        <w:t xml:space="preserve"> </w:t>
      </w:r>
    </w:p>
    <w:p w14:paraId="62860016" w14:textId="77777777" w:rsidR="006619CA" w:rsidRPr="00815583" w:rsidRDefault="006619CA" w:rsidP="006619CA">
      <w:pPr>
        <w:pStyle w:val="BodyText"/>
        <w:rPr>
          <w:rFonts w:eastAsia="HelveticaNeueLTStd-Lt" w:cstheme="minorHAnsi"/>
          <w:color w:val="000000"/>
        </w:rPr>
      </w:pPr>
      <w:r w:rsidRPr="00815583">
        <w:rPr>
          <w:rFonts w:eastAsia="HelveticaNeueLTStd-Lt" w:cstheme="minorHAnsi"/>
          <w:color w:val="000000"/>
        </w:rPr>
        <w:t>Nearly 78% of non-Indigenous Australians with self-reported diabetes report having a diabetes eye examination within the last year, as recommended by National Health and Medical Research Council (NHMRC) guidelines, however, only around one half of Aboriginal and Torres Strait Islander people reported doing so. Very remote areas have  significantly lower rates of eye examination.</w:t>
      </w:r>
      <w:r w:rsidRPr="00815583">
        <w:rPr>
          <w:rFonts w:eastAsia="HelveticaNeueLTStd-Lt" w:cstheme="minorHAnsi"/>
          <w:color w:val="000000"/>
          <w:vertAlign w:val="superscript"/>
        </w:rPr>
        <w:t>1</w:t>
      </w:r>
      <w:r w:rsidRPr="00815583">
        <w:rPr>
          <w:rFonts w:eastAsia="HelveticaNeueLTStd-Lt" w:cstheme="minorHAnsi"/>
          <w:color w:val="000000"/>
        </w:rPr>
        <w:t xml:space="preserve"> </w:t>
      </w:r>
    </w:p>
    <w:p w14:paraId="49BE339E" w14:textId="77777777" w:rsidR="006619CA" w:rsidRPr="00C003CF" w:rsidRDefault="006619CA" w:rsidP="006619CA">
      <w:pPr>
        <w:pStyle w:val="Heading2"/>
      </w:pPr>
      <w:r w:rsidRPr="00C003CF">
        <w:t>Interventions</w:t>
      </w:r>
    </w:p>
    <w:p w14:paraId="20CF1642" w14:textId="77777777" w:rsidR="006619CA" w:rsidRPr="00C003CF" w:rsidRDefault="006619CA" w:rsidP="006619CA">
      <w:pPr>
        <w:pStyle w:val="Heading2"/>
      </w:pPr>
      <w:r w:rsidRPr="00C003CF">
        <w:t>Evidence for the effectiveness of preventive interventions</w:t>
      </w:r>
    </w:p>
    <w:p w14:paraId="43959DFF" w14:textId="77777777" w:rsidR="006619CA" w:rsidRPr="00C003CF" w:rsidRDefault="006619CA" w:rsidP="006619CA">
      <w:pPr>
        <w:pStyle w:val="Heading3"/>
      </w:pPr>
      <w:r w:rsidRPr="00C003CF">
        <w:t>Vision screening in children</w:t>
      </w:r>
    </w:p>
    <w:p w14:paraId="5DDB0611" w14:textId="1B4144ED" w:rsidR="006619CA" w:rsidRPr="00F56D17" w:rsidRDefault="006619CA" w:rsidP="00F56D17">
      <w:pPr>
        <w:pStyle w:val="BodyText"/>
        <w:rPr>
          <w:rFonts w:asciiTheme="majorHAnsi" w:eastAsia="HelveticaNeueLTStd-Lt" w:hAnsiTheme="majorHAnsi" w:cstheme="majorHAnsi"/>
          <w:color w:val="000000"/>
          <w:szCs w:val="22"/>
        </w:rPr>
      </w:pPr>
      <w:r w:rsidRPr="00F56D17">
        <w:rPr>
          <w:rFonts w:asciiTheme="majorHAnsi" w:eastAsia="HelveticaNeueLTStd-Lt" w:hAnsiTheme="majorHAnsi" w:cstheme="majorHAnsi"/>
          <w:color w:val="000000"/>
          <w:szCs w:val="22"/>
        </w:rPr>
        <w:t>Available literature and many professional guidelines generally recommend a check for congenital eye conditions within the first three months of life.15 The project advisory group from the National Children’s Vision Screening Project (NCVSP) in 2009 also recommended vision assessments for children between the ages of three and six months.16,17 For older children, the NCVSP, two recent Australian reviews and the US Preventive Services Task Force (USPSTF) recommend vision screening at least once between the ages of three and five years.15–17, 67</w:t>
      </w:r>
    </w:p>
    <w:p w14:paraId="3684B07D" w14:textId="77777777" w:rsidR="006619CA" w:rsidRPr="00F56D17" w:rsidRDefault="006619CA" w:rsidP="00F56D17">
      <w:pPr>
        <w:pStyle w:val="BodyText"/>
        <w:rPr>
          <w:rFonts w:asciiTheme="majorHAnsi" w:eastAsia="HelveticaNeueLTStd-Lt" w:hAnsiTheme="majorHAnsi" w:cstheme="majorHAnsi"/>
          <w:color w:val="000000"/>
          <w:szCs w:val="22"/>
        </w:rPr>
      </w:pPr>
      <w:r w:rsidRPr="00F56D17">
        <w:rPr>
          <w:rFonts w:asciiTheme="majorHAnsi" w:eastAsia="HelveticaNeueLTStd-Lt" w:hAnsiTheme="majorHAnsi" w:cstheme="majorHAnsi"/>
          <w:color w:val="000000"/>
          <w:szCs w:val="22"/>
        </w:rPr>
        <w:t>Screening should aim to detect diminished visual acuity, and follow-up screening and treatment should be available for those who require it. Referral criteria are dependent on the age of the child and include a visual acuity less than 6/9 in either eye for a three-year-old and 6/9 or less in either eye for a 4–6-year-old.15</w:t>
      </w:r>
    </w:p>
    <w:p w14:paraId="009719C1" w14:textId="218E58D1" w:rsidR="00F56D17" w:rsidRPr="00F56D17" w:rsidRDefault="00F56D17" w:rsidP="00F56D17">
      <w:pPr>
        <w:pStyle w:val="BodyText"/>
        <w:rPr>
          <w:rFonts w:asciiTheme="majorHAnsi" w:eastAsia="HelveticaNeueLTStd-Lt" w:hAnsiTheme="majorHAnsi" w:cstheme="majorHAnsi"/>
          <w:color w:val="000000"/>
          <w:szCs w:val="22"/>
        </w:rPr>
      </w:pPr>
      <w:r w:rsidRPr="00F56D17">
        <w:rPr>
          <w:rFonts w:asciiTheme="majorHAnsi" w:eastAsia="HelveticaNeueLTStd-Lt" w:hAnsiTheme="majorHAnsi" w:cstheme="majorHAnsi"/>
          <w:color w:val="000000"/>
          <w:szCs w:val="22"/>
        </w:rPr>
        <w:t xml:space="preserve">Evaluation of the pupil red reflex with an ophthalmoscope should also be done wherever possible for all age groups (but especially in </w:t>
      </w:r>
      <w:r w:rsidR="00205C51">
        <w:rPr>
          <w:rFonts w:asciiTheme="majorHAnsi" w:eastAsia="HelveticaNeueLTStd-Lt" w:hAnsiTheme="majorHAnsi" w:cstheme="majorHAnsi"/>
          <w:color w:val="000000"/>
          <w:szCs w:val="22"/>
        </w:rPr>
        <w:t xml:space="preserve">newborns, infants and young </w:t>
      </w:r>
      <w:r w:rsidRPr="00F56D17">
        <w:rPr>
          <w:rFonts w:asciiTheme="majorHAnsi" w:eastAsia="HelveticaNeueLTStd-Lt" w:hAnsiTheme="majorHAnsi" w:cstheme="majorHAnsi"/>
          <w:color w:val="000000"/>
          <w:szCs w:val="22"/>
        </w:rPr>
        <w:t xml:space="preserve">children), to screen for media opacities (e.g. cataract) and/or fundus abnormalities (e.g. retinal detachment). Abnormal colour (particularly white), or incomplete or asymmetrical colouring warrants an urgent referral to an optometrist or ophthalmologist for further assessment. </w:t>
      </w:r>
    </w:p>
    <w:p w14:paraId="38B4E678" w14:textId="77777777" w:rsidR="006619CA" w:rsidRPr="00F56D17" w:rsidRDefault="006619CA" w:rsidP="00F56D17">
      <w:pPr>
        <w:pStyle w:val="BodyText"/>
        <w:rPr>
          <w:rFonts w:asciiTheme="majorHAnsi" w:eastAsia="HelveticaNeueLTStd-Lt" w:hAnsiTheme="majorHAnsi" w:cstheme="majorHAnsi"/>
          <w:color w:val="000000"/>
          <w:szCs w:val="22"/>
        </w:rPr>
      </w:pPr>
      <w:r w:rsidRPr="00F56D17">
        <w:rPr>
          <w:rFonts w:asciiTheme="majorHAnsi" w:eastAsia="HelveticaNeueLTStd-Lt" w:hAnsiTheme="majorHAnsi" w:cstheme="majorHAnsi"/>
          <w:color w:val="000000"/>
          <w:szCs w:val="22"/>
        </w:rPr>
        <w:t xml:space="preserve">In Australia, the prevalence of amblyopia in children ranges from 1.4% to 3.6%, while strabismus ranges from 0.3% to 7.3% and refractive error ranges from 1% to 14.7%. Aboriginal and Torres Strait Islander children are five times less likely to have vision impairment than non-Indigenous children,16 with less refractive error and strabismus. </w:t>
      </w:r>
    </w:p>
    <w:p w14:paraId="0EFA4CBC" w14:textId="77777777" w:rsidR="006619CA" w:rsidRPr="00F56D17" w:rsidRDefault="006619CA" w:rsidP="00F56D17">
      <w:pPr>
        <w:pStyle w:val="BodyText"/>
        <w:rPr>
          <w:rFonts w:asciiTheme="majorHAnsi" w:eastAsia="HelveticaNeueLTStd-Lt" w:hAnsiTheme="majorHAnsi" w:cstheme="majorHAnsi"/>
          <w:color w:val="000000"/>
          <w:szCs w:val="22"/>
        </w:rPr>
      </w:pPr>
      <w:r w:rsidRPr="00F56D17">
        <w:rPr>
          <w:rFonts w:asciiTheme="majorHAnsi" w:eastAsia="HelveticaNeueLTStd-Lt" w:hAnsiTheme="majorHAnsi" w:cstheme="majorHAnsi"/>
          <w:color w:val="000000"/>
          <w:szCs w:val="22"/>
        </w:rPr>
        <w:t>In addition to routine vision screening, Aboriginal and Torres Strait Islander children living in rural and remote areas should be screened for trachoma when there is increased risk.</w:t>
      </w:r>
    </w:p>
    <w:p w14:paraId="494F3D28" w14:textId="24AC5693" w:rsidR="006619CA" w:rsidRPr="00F56D17" w:rsidRDefault="006619CA" w:rsidP="00F56D17">
      <w:pPr>
        <w:pStyle w:val="BodyText"/>
        <w:rPr>
          <w:rFonts w:asciiTheme="majorHAnsi" w:eastAsia="HelveticaNeueLTStd-Lt" w:hAnsiTheme="majorHAnsi" w:cstheme="majorHAnsi"/>
          <w:color w:val="000000"/>
          <w:szCs w:val="22"/>
        </w:rPr>
      </w:pPr>
      <w:r w:rsidRPr="00F56D17">
        <w:rPr>
          <w:rFonts w:asciiTheme="majorHAnsi" w:eastAsia="HelveticaNeueLTStd-Lt" w:hAnsiTheme="majorHAnsi" w:cstheme="majorHAnsi"/>
          <w:color w:val="000000"/>
          <w:szCs w:val="22"/>
        </w:rPr>
        <w:t>Further, children with a history of prematurity, birth weight less than 1500 g, and developmental delay or disability, should have more comprehensive eye testing and follow-up as they are at increased risk of vision impairment.16 In Australia, each state and territory health department has separate guidelines for paediatric vision screening.17 These guidelines are all generally in keeping with the above evidence.7,17,19–22</w:t>
      </w:r>
    </w:p>
    <w:p w14:paraId="7FE9F754" w14:textId="77777777" w:rsidR="00B46712" w:rsidRPr="009C0D18" w:rsidRDefault="006619CA" w:rsidP="009C0D18">
      <w:pPr>
        <w:pStyle w:val="Heading3"/>
      </w:pPr>
      <w:r w:rsidRPr="00C003CF">
        <w:t>Vision screening in adults</w:t>
      </w:r>
    </w:p>
    <w:p w14:paraId="4DC23C83" w14:textId="6ABAE0DC" w:rsidR="00B46712" w:rsidRDefault="00B46712" w:rsidP="00B46712">
      <w:pPr>
        <w:autoSpaceDE w:val="0"/>
        <w:autoSpaceDN w:val="0"/>
        <w:adjustRightInd w:val="0"/>
        <w:rPr>
          <w:rFonts w:asciiTheme="majorHAnsi" w:eastAsia="HelveticaNeueLTStd-Lt" w:hAnsiTheme="majorHAnsi" w:cstheme="majorHAnsi"/>
          <w:color w:val="000000"/>
        </w:rPr>
      </w:pPr>
      <w:r>
        <w:rPr>
          <w:rFonts w:asciiTheme="majorHAnsi" w:eastAsia="HelveticaNeueLTStd-Lt" w:hAnsiTheme="majorHAnsi" w:cstheme="majorHAnsi"/>
          <w:color w:val="000000"/>
        </w:rPr>
        <w:t xml:space="preserve">Vision screening for adults is beneficial, as many sight-threatening conditions increase in prevalence with advancing age and may be asymptomatic in the early stages and to promote eye care seeking behaviours. Early detection allows for earlier intervention, with the benefits of reductions in vision loss, maintenance of productivity, reduced risk of injury, falls and mobility and maintenance of quality of life. </w:t>
      </w:r>
      <w:r>
        <w:rPr>
          <w:rFonts w:asciiTheme="majorHAnsi" w:eastAsia="HelveticaNeueLTStd-Lt" w:hAnsiTheme="majorHAnsi" w:cstheme="majorHAnsi"/>
          <w:color w:val="000000"/>
        </w:rPr>
        <w:lastRenderedPageBreak/>
        <w:t xml:space="preserve">Further, early recognition of vision loss due to </w:t>
      </w:r>
      <w:r w:rsidRPr="00815583">
        <w:rPr>
          <w:rFonts w:asciiTheme="majorHAnsi" w:eastAsia="HelveticaNeueLTStd-Lt" w:hAnsiTheme="majorHAnsi" w:cstheme="majorHAnsi"/>
          <w:color w:val="000000"/>
        </w:rPr>
        <w:t xml:space="preserve">refractive error </w:t>
      </w:r>
      <w:r>
        <w:rPr>
          <w:rFonts w:asciiTheme="majorHAnsi" w:eastAsia="HelveticaNeueLTStd-Lt" w:hAnsiTheme="majorHAnsi" w:cstheme="majorHAnsi"/>
          <w:color w:val="000000"/>
        </w:rPr>
        <w:t>or cataract is</w:t>
      </w:r>
      <w:r w:rsidRPr="00815583">
        <w:rPr>
          <w:rFonts w:asciiTheme="majorHAnsi" w:eastAsia="HelveticaNeueLTStd-Lt" w:hAnsiTheme="majorHAnsi" w:cstheme="majorHAnsi"/>
          <w:color w:val="000000"/>
        </w:rPr>
        <w:t xml:space="preserve"> correctable with </w:t>
      </w:r>
      <w:r>
        <w:rPr>
          <w:rFonts w:asciiTheme="majorHAnsi" w:eastAsia="HelveticaNeueLTStd-Lt" w:hAnsiTheme="majorHAnsi" w:cstheme="majorHAnsi"/>
          <w:color w:val="000000"/>
        </w:rPr>
        <w:t>spectacles, contact lenses and refractive surgery,</w:t>
      </w:r>
      <w:r w:rsidRPr="00815583">
        <w:rPr>
          <w:rFonts w:asciiTheme="majorHAnsi" w:eastAsia="HelveticaNeueLTStd-Lt" w:hAnsiTheme="majorHAnsi" w:cstheme="majorHAnsi"/>
          <w:color w:val="000000"/>
        </w:rPr>
        <w:t xml:space="preserve"> </w:t>
      </w:r>
      <w:r>
        <w:rPr>
          <w:rFonts w:asciiTheme="majorHAnsi" w:eastAsia="HelveticaNeueLTStd-Lt" w:hAnsiTheme="majorHAnsi" w:cstheme="majorHAnsi"/>
          <w:color w:val="000000"/>
        </w:rPr>
        <w:t>where appropriate</w:t>
      </w:r>
      <w:r w:rsidRPr="00815583">
        <w:rPr>
          <w:rFonts w:asciiTheme="majorHAnsi" w:eastAsia="HelveticaNeueLTStd-Lt" w:hAnsiTheme="majorHAnsi" w:cstheme="majorHAnsi"/>
          <w:color w:val="000000"/>
        </w:rPr>
        <w:t>.</w:t>
      </w:r>
      <w:r w:rsidRPr="00815583">
        <w:rPr>
          <w:rFonts w:asciiTheme="majorHAnsi" w:eastAsia="HelveticaNeueLTStd-Lt" w:hAnsiTheme="majorHAnsi" w:cstheme="majorHAnsi"/>
          <w:color w:val="000000"/>
          <w:vertAlign w:val="superscript"/>
        </w:rPr>
        <w:t>23,24</w:t>
      </w:r>
      <w:r>
        <w:rPr>
          <w:rFonts w:asciiTheme="majorHAnsi" w:eastAsia="HelveticaNeueLTStd-Lt" w:hAnsiTheme="majorHAnsi" w:cstheme="majorHAnsi"/>
          <w:color w:val="000000"/>
          <w:vertAlign w:val="superscript"/>
        </w:rPr>
        <w:t xml:space="preserve">, </w:t>
      </w:r>
      <w:r>
        <w:rPr>
          <w:rStyle w:val="FootnoteReference"/>
          <w:rFonts w:asciiTheme="majorHAnsi" w:eastAsia="HelveticaNeueLTStd-Lt" w:hAnsiTheme="majorHAnsi" w:cstheme="majorHAnsi"/>
          <w:color w:val="000000"/>
        </w:rPr>
        <w:footnoteReference w:id="10"/>
      </w:r>
      <w:r w:rsidRPr="00815583">
        <w:rPr>
          <w:rFonts w:asciiTheme="majorHAnsi" w:eastAsia="HelveticaNeueLTStd-Lt" w:hAnsiTheme="majorHAnsi" w:cstheme="majorHAnsi"/>
          <w:color w:val="000000"/>
        </w:rPr>
        <w:t xml:space="preserve"> </w:t>
      </w:r>
    </w:p>
    <w:p w14:paraId="1E513669" w14:textId="77777777" w:rsidR="00F56D17" w:rsidRDefault="00F56D17" w:rsidP="00B46712">
      <w:pPr>
        <w:autoSpaceDE w:val="0"/>
        <w:autoSpaceDN w:val="0"/>
        <w:adjustRightInd w:val="0"/>
        <w:rPr>
          <w:rFonts w:asciiTheme="majorHAnsi" w:eastAsia="HelveticaNeueLTStd-Lt" w:hAnsiTheme="majorHAnsi" w:cstheme="majorHAnsi"/>
          <w:color w:val="000000"/>
        </w:rPr>
      </w:pPr>
    </w:p>
    <w:p w14:paraId="022C7F4A" w14:textId="77777777" w:rsidR="006619CA" w:rsidRPr="00815583" w:rsidRDefault="006619CA" w:rsidP="006619CA">
      <w:pPr>
        <w:autoSpaceDE w:val="0"/>
        <w:autoSpaceDN w:val="0"/>
        <w:adjustRightInd w:val="0"/>
        <w:rPr>
          <w:rFonts w:asciiTheme="majorHAnsi" w:eastAsia="HelveticaNeueLTStd-Lt" w:hAnsiTheme="majorHAnsi" w:cstheme="majorHAnsi"/>
          <w:color w:val="000000"/>
        </w:rPr>
      </w:pPr>
      <w:r w:rsidRPr="00F56D17">
        <w:rPr>
          <w:rFonts w:eastAsia="Times New Roman" w:cs="Times New Roman"/>
          <w:szCs w:val="24"/>
          <w:lang w:eastAsia="en-AU"/>
        </w:rPr>
        <w:t>Patients of all ages should be asked about vision</w:t>
      </w:r>
      <w:r w:rsidR="00FC1080" w:rsidRPr="00F56D17">
        <w:rPr>
          <w:rFonts w:eastAsia="Times New Roman" w:cs="Times New Roman"/>
          <w:szCs w:val="24"/>
          <w:lang w:eastAsia="en-AU"/>
        </w:rPr>
        <w:t xml:space="preserve"> and whether their ability to do what they want to do safely is affected by their vision</w:t>
      </w:r>
      <w:r w:rsidR="00FC1080" w:rsidRPr="00F56D17">
        <w:rPr>
          <w:rStyle w:val="FootnoteReference"/>
          <w:rFonts w:eastAsia="Times New Roman" w:cs="Times New Roman"/>
          <w:szCs w:val="24"/>
          <w:lang w:eastAsia="en-AU"/>
        </w:rPr>
        <w:footnoteReference w:id="11"/>
      </w:r>
      <w:r w:rsidR="00FC1080" w:rsidRPr="00F56D17">
        <w:rPr>
          <w:rFonts w:eastAsia="Times New Roman" w:cs="Times New Roman"/>
          <w:szCs w:val="24"/>
          <w:lang w:eastAsia="en-AU"/>
        </w:rPr>
        <w:t>,</w:t>
      </w:r>
      <w:r w:rsidRPr="00F56D17">
        <w:rPr>
          <w:rFonts w:eastAsia="Times New Roman" w:cs="Times New Roman"/>
          <w:szCs w:val="24"/>
          <w:lang w:eastAsia="en-AU"/>
        </w:rPr>
        <w:t xml:space="preserve"> as part of the health assessment, and should be referred to an</w:t>
      </w:r>
      <w:r w:rsidRPr="00815583">
        <w:rPr>
          <w:rFonts w:asciiTheme="majorHAnsi" w:eastAsia="HelveticaNeueLTStd-Lt" w:hAnsiTheme="majorHAnsi" w:cstheme="majorHAnsi"/>
          <w:color w:val="000000"/>
        </w:rPr>
        <w:t xml:space="preserve"> optometrist or ophthalmologist for further assessment and management if problems are reported or identified.</w:t>
      </w:r>
    </w:p>
    <w:p w14:paraId="001BEAD1" w14:textId="77777777" w:rsidR="006619CA" w:rsidRPr="00815583" w:rsidRDefault="006619CA" w:rsidP="006619CA">
      <w:pPr>
        <w:autoSpaceDE w:val="0"/>
        <w:autoSpaceDN w:val="0"/>
        <w:adjustRightInd w:val="0"/>
        <w:rPr>
          <w:rFonts w:ascii="Arial" w:hAnsi="Arial" w:cs="Arial"/>
          <w:color w:val="333333"/>
          <w:shd w:val="clear" w:color="auto" w:fill="FFFFFF"/>
        </w:rPr>
      </w:pPr>
      <w:r w:rsidRPr="00815583">
        <w:rPr>
          <w:rFonts w:asciiTheme="majorHAnsi" w:eastAsia="HelveticaNeueLTStd-Lt" w:hAnsiTheme="majorHAnsi" w:cstheme="majorHAnsi"/>
          <w:color w:val="000000"/>
        </w:rPr>
        <w:t>There is broad consensus in recommending an assessment of visual acuity in Australians from 65 years of age if requested or symptomatic.</w:t>
      </w:r>
      <w:r w:rsidRPr="00815583">
        <w:rPr>
          <w:rFonts w:asciiTheme="majorHAnsi" w:eastAsia="HelveticaNeueLTStd-Lt" w:hAnsiTheme="majorHAnsi" w:cstheme="majorHAnsi"/>
          <w:color w:val="000000"/>
          <w:vertAlign w:val="superscript"/>
        </w:rPr>
        <w:t xml:space="preserve">7 </w:t>
      </w:r>
      <w:r w:rsidRPr="00815583">
        <w:rPr>
          <w:rFonts w:asciiTheme="majorHAnsi" w:eastAsia="HelveticaNeueLTStd-Lt" w:hAnsiTheme="majorHAnsi" w:cstheme="majorHAnsi"/>
          <w:color w:val="000000"/>
        </w:rPr>
        <w:t xml:space="preserve">This is </w:t>
      </w:r>
      <w:r w:rsidRPr="00815583">
        <w:rPr>
          <w:rStyle w:val="CommentReference"/>
          <w:sz w:val="22"/>
          <w:szCs w:val="22"/>
        </w:rPr>
        <w:t>supported by the guidelines of RANZCO</w:t>
      </w:r>
      <w:r w:rsidRPr="00815583">
        <w:rPr>
          <w:rStyle w:val="FootnoteReference"/>
        </w:rPr>
        <w:footnoteReference w:id="12"/>
      </w:r>
      <w:r w:rsidRPr="00815583">
        <w:rPr>
          <w:rStyle w:val="CommentReference"/>
          <w:sz w:val="22"/>
          <w:szCs w:val="22"/>
        </w:rPr>
        <w:t>, American Optometric Association</w:t>
      </w:r>
      <w:r w:rsidRPr="00815583">
        <w:rPr>
          <w:rStyle w:val="FootnoteReference"/>
          <w:rFonts w:ascii="Arial" w:hAnsi="Arial" w:cs="Arial"/>
          <w:color w:val="333333"/>
          <w:shd w:val="clear" w:color="auto" w:fill="FFFFFF"/>
        </w:rPr>
        <w:footnoteReference w:id="13"/>
      </w:r>
      <w:r w:rsidRPr="00815583">
        <w:rPr>
          <w:rStyle w:val="CommentReference"/>
          <w:sz w:val="22"/>
          <w:szCs w:val="22"/>
        </w:rPr>
        <w:t xml:space="preserve">, and </w:t>
      </w:r>
      <w:r w:rsidRPr="00815583">
        <w:rPr>
          <w:rFonts w:ascii="Arial" w:hAnsi="Arial" w:cs="Arial"/>
          <w:color w:val="333333"/>
          <w:shd w:val="clear" w:color="auto" w:fill="FFFFFF"/>
        </w:rPr>
        <w:t>American Academy of Ophthalmology, which also recommends a dilation examination every 1 to 2 years for all adults 65 years or older who do not have risk factors or more frequently if risk factors are present.</w:t>
      </w:r>
      <w:r w:rsidRPr="00815583">
        <w:rPr>
          <w:rStyle w:val="FootnoteReference"/>
          <w:rFonts w:ascii="Arial" w:hAnsi="Arial" w:cs="Arial"/>
          <w:color w:val="333333"/>
          <w:shd w:val="clear" w:color="auto" w:fill="FFFFFF"/>
        </w:rPr>
        <w:t xml:space="preserve"> </w:t>
      </w:r>
      <w:r w:rsidRPr="00815583">
        <w:rPr>
          <w:rStyle w:val="FootnoteReference"/>
          <w:rFonts w:ascii="Arial" w:hAnsi="Arial" w:cs="Arial"/>
          <w:color w:val="333333"/>
          <w:shd w:val="clear" w:color="auto" w:fill="FFFFFF"/>
        </w:rPr>
        <w:footnoteReference w:id="14"/>
      </w:r>
    </w:p>
    <w:p w14:paraId="4A0BF87E" w14:textId="77777777" w:rsidR="006619CA" w:rsidRPr="00815583" w:rsidRDefault="006619CA" w:rsidP="006619CA">
      <w:pPr>
        <w:autoSpaceDE w:val="0"/>
        <w:autoSpaceDN w:val="0"/>
        <w:adjustRightInd w:val="0"/>
        <w:rPr>
          <w:rFonts w:ascii="Arial" w:hAnsi="Arial" w:cs="Arial"/>
          <w:color w:val="333333"/>
          <w:shd w:val="clear" w:color="auto" w:fill="FFFFFF"/>
        </w:rPr>
      </w:pPr>
    </w:p>
    <w:p w14:paraId="4848DCD3" w14:textId="77777777" w:rsidR="006619CA" w:rsidRPr="00815583" w:rsidRDefault="006619CA" w:rsidP="006619CA">
      <w:pPr>
        <w:autoSpaceDE w:val="0"/>
        <w:autoSpaceDN w:val="0"/>
        <w:adjustRightInd w:val="0"/>
        <w:rPr>
          <w:rStyle w:val="CommentReference"/>
          <w:sz w:val="22"/>
          <w:szCs w:val="22"/>
        </w:rPr>
      </w:pPr>
      <w:r w:rsidRPr="00815583">
        <w:rPr>
          <w:rStyle w:val="CommentReference"/>
          <w:sz w:val="22"/>
          <w:szCs w:val="22"/>
        </w:rPr>
        <w:t xml:space="preserve">Adults between 19 to 40 years of age are recommended to have an eye examination at least every two years, unless additional risk factors are present. </w:t>
      </w:r>
      <w:r w:rsidRPr="00815583">
        <w:rPr>
          <w:rStyle w:val="FootnoteReference"/>
        </w:rPr>
        <w:footnoteReference w:id="15"/>
      </w:r>
      <w:r w:rsidRPr="00815583">
        <w:rPr>
          <w:rStyle w:val="CommentReference"/>
          <w:sz w:val="22"/>
          <w:szCs w:val="22"/>
          <w:vertAlign w:val="superscript"/>
        </w:rPr>
        <w:t>,</w:t>
      </w:r>
      <w:r w:rsidRPr="00815583">
        <w:rPr>
          <w:rStyle w:val="FootnoteReference"/>
        </w:rPr>
        <w:footnoteReference w:id="16"/>
      </w:r>
    </w:p>
    <w:p w14:paraId="2E4C592E" w14:textId="77777777" w:rsidR="006619CA" w:rsidRPr="00815583" w:rsidRDefault="006619CA" w:rsidP="006619CA">
      <w:pPr>
        <w:autoSpaceDE w:val="0"/>
        <w:autoSpaceDN w:val="0"/>
        <w:adjustRightInd w:val="0"/>
        <w:rPr>
          <w:rStyle w:val="CommentReference"/>
          <w:sz w:val="22"/>
          <w:szCs w:val="22"/>
        </w:rPr>
      </w:pPr>
      <w:r w:rsidRPr="00815583">
        <w:rPr>
          <w:rStyle w:val="CommentReference"/>
          <w:sz w:val="22"/>
          <w:szCs w:val="22"/>
        </w:rPr>
        <w:t>An Optometry MBS item 10910 is available to cover a comprehensive eye examination every 36 months, and Item 10911 for annual eye examinations in patients 65 years and older.</w:t>
      </w:r>
      <w:r w:rsidRPr="00815583">
        <w:rPr>
          <w:rStyle w:val="FootnoteReference"/>
        </w:rPr>
        <w:footnoteReference w:id="17"/>
      </w:r>
    </w:p>
    <w:p w14:paraId="4205FAF9" w14:textId="77777777" w:rsidR="006619CA" w:rsidRPr="00454DFD" w:rsidRDefault="006619CA" w:rsidP="006619CA">
      <w:pPr>
        <w:autoSpaceDE w:val="0"/>
        <w:autoSpaceDN w:val="0"/>
        <w:adjustRightInd w:val="0"/>
        <w:rPr>
          <w:rFonts w:eastAsia="HelveticaNeueLTStd-Lt" w:cstheme="minorHAnsi"/>
          <w:color w:val="000000"/>
        </w:rPr>
      </w:pPr>
    </w:p>
    <w:p w14:paraId="7A7A044F" w14:textId="77777777" w:rsidR="006619CA" w:rsidRPr="00454DFD" w:rsidRDefault="006619CA" w:rsidP="006619CA">
      <w:pPr>
        <w:autoSpaceDE w:val="0"/>
        <w:autoSpaceDN w:val="0"/>
        <w:adjustRightInd w:val="0"/>
        <w:rPr>
          <w:rFonts w:eastAsia="HelveticaNeueLTStd-Lt" w:cstheme="minorHAnsi"/>
          <w:color w:val="000000"/>
        </w:rPr>
      </w:pPr>
      <w:r w:rsidRPr="00454DFD">
        <w:rPr>
          <w:rFonts w:eastAsia="HelveticaNeueLTStd-Lt" w:cstheme="minorHAnsi"/>
          <w:color w:val="000000"/>
        </w:rPr>
        <w:t xml:space="preserve">The substantially higher prevalence and under-diagnosis of vision impairment in Aboriginal and Torres Strait Islander peoples, along with poorer access to corrective services, warrants routine visual acuity screening in all age groups in this population. </w:t>
      </w:r>
    </w:p>
    <w:p w14:paraId="36045372" w14:textId="77777777" w:rsidR="006619CA" w:rsidRPr="00454DFD" w:rsidRDefault="006619CA" w:rsidP="006619CA">
      <w:pPr>
        <w:autoSpaceDE w:val="0"/>
        <w:autoSpaceDN w:val="0"/>
        <w:adjustRightInd w:val="0"/>
        <w:rPr>
          <w:rFonts w:eastAsia="HelveticaNeueLTStd-Lt" w:cstheme="minorHAnsi"/>
          <w:color w:val="000000"/>
        </w:rPr>
      </w:pPr>
      <w:r w:rsidRPr="00454DFD">
        <w:rPr>
          <w:rFonts w:eastAsia="HelveticaNeueLTStd-Lt" w:cstheme="minorHAnsi"/>
          <w:color w:val="000000"/>
        </w:rPr>
        <w:t>An eye examination is a mandatory requirement for a ‘Medicare Health Assessment for Aboriginal and Torres Strait Islander Peoples Health Assessment’ (MBS item 715; refer to ‘Resources’),</w:t>
      </w:r>
      <w:r w:rsidRPr="00454DFD">
        <w:rPr>
          <w:rFonts w:eastAsia="HelveticaNeueLTStd-Lt" w:cstheme="minorHAnsi"/>
          <w:color w:val="000000"/>
          <w:vertAlign w:val="superscript"/>
        </w:rPr>
        <w:t>25</w:t>
      </w:r>
      <w:r w:rsidRPr="00454DFD">
        <w:rPr>
          <w:rFonts w:eastAsia="HelveticaNeueLTStd-Lt" w:cstheme="minorHAnsi"/>
          <w:color w:val="000000"/>
        </w:rPr>
        <w:t xml:space="preserve"> and this is supported by recommendations in the </w:t>
      </w:r>
      <w:r w:rsidRPr="00454DFD">
        <w:rPr>
          <w:rFonts w:cstheme="minorHAnsi"/>
          <w:i/>
          <w:iCs/>
          <w:color w:val="000000"/>
        </w:rPr>
        <w:t xml:space="preserve">CARPA standard treatment manual </w:t>
      </w:r>
      <w:r w:rsidRPr="00454DFD">
        <w:rPr>
          <w:rFonts w:eastAsia="HelveticaNeueLTStd-Lt" w:cstheme="minorHAnsi"/>
          <w:color w:val="000000"/>
        </w:rPr>
        <w:t>(7</w:t>
      </w:r>
      <w:r w:rsidRPr="00454DFD">
        <w:rPr>
          <w:rFonts w:eastAsia="HelveticaNeueLTStd-Lt" w:cstheme="minorHAnsi"/>
          <w:color w:val="000000"/>
          <w:vertAlign w:val="superscript"/>
        </w:rPr>
        <w:t>th</w:t>
      </w:r>
      <w:r w:rsidRPr="00454DFD">
        <w:rPr>
          <w:rFonts w:eastAsia="HelveticaNeueLTStd-Lt" w:cstheme="minorHAnsi"/>
          <w:color w:val="000000"/>
        </w:rPr>
        <w:t xml:space="preserve"> ed) and the Queensland </w:t>
      </w:r>
      <w:r w:rsidRPr="00454DFD">
        <w:rPr>
          <w:rFonts w:cstheme="minorHAnsi"/>
          <w:i/>
          <w:iCs/>
          <w:color w:val="000000"/>
        </w:rPr>
        <w:t>Chronic conditions manual</w:t>
      </w:r>
      <w:r w:rsidRPr="00454DFD">
        <w:rPr>
          <w:rFonts w:eastAsia="HelveticaNeueLTStd-Lt" w:cstheme="minorHAnsi"/>
          <w:color w:val="000000"/>
        </w:rPr>
        <w:t>.</w:t>
      </w:r>
      <w:r w:rsidRPr="00454DFD">
        <w:rPr>
          <w:rFonts w:eastAsia="HelveticaNeueLTStd-Lt" w:cstheme="minorHAnsi"/>
          <w:color w:val="000000"/>
          <w:vertAlign w:val="superscript"/>
        </w:rPr>
        <w:t>19,20</w:t>
      </w:r>
    </w:p>
    <w:p w14:paraId="5F0202EC" w14:textId="77777777" w:rsidR="006619CA" w:rsidRPr="00815583" w:rsidRDefault="006619CA" w:rsidP="006619CA">
      <w:pPr>
        <w:autoSpaceDE w:val="0"/>
        <w:autoSpaceDN w:val="0"/>
        <w:adjustRightInd w:val="0"/>
        <w:rPr>
          <w:rFonts w:asciiTheme="majorHAnsi" w:hAnsiTheme="majorHAnsi" w:cstheme="majorHAnsi"/>
          <w:color w:val="000000"/>
        </w:rPr>
      </w:pPr>
    </w:p>
    <w:p w14:paraId="6B36EEA6" w14:textId="77777777" w:rsidR="006619CA" w:rsidRPr="00C003CF" w:rsidRDefault="006619CA" w:rsidP="006619CA">
      <w:pPr>
        <w:pStyle w:val="Heading3"/>
      </w:pPr>
      <w:r w:rsidRPr="00C003CF">
        <w:t>Testing vision</w:t>
      </w:r>
    </w:p>
    <w:p w14:paraId="356E4B1E" w14:textId="77777777" w:rsidR="006619CA" w:rsidRPr="008E4310" w:rsidRDefault="006619CA" w:rsidP="006619CA">
      <w:pPr>
        <w:autoSpaceDE w:val="0"/>
        <w:autoSpaceDN w:val="0"/>
        <w:adjustRightInd w:val="0"/>
        <w:rPr>
          <w:rFonts w:eastAsia="HelveticaNeueLTStd-Lt" w:cstheme="minorHAnsi"/>
          <w:color w:val="000000"/>
          <w:szCs w:val="24"/>
        </w:rPr>
      </w:pPr>
      <w:r w:rsidRPr="008E4310">
        <w:rPr>
          <w:rFonts w:eastAsia="HelveticaNeueLTStd-Lt" w:cstheme="minorHAnsi"/>
          <w:color w:val="000000"/>
          <w:szCs w:val="24"/>
        </w:rPr>
        <w:t>The standard (Snellen) eye chart and tumbling E chart are the most suitable tools to assess visual acuity.</w:t>
      </w:r>
      <w:r w:rsidRPr="008E4310">
        <w:rPr>
          <w:rFonts w:eastAsia="HelveticaNeueLTStd-Lt" w:cstheme="minorHAnsi"/>
          <w:color w:val="000000"/>
          <w:szCs w:val="24"/>
          <w:vertAlign w:val="superscript"/>
        </w:rPr>
        <w:t>20</w:t>
      </w:r>
    </w:p>
    <w:p w14:paraId="63449EA1" w14:textId="77777777" w:rsidR="006619CA" w:rsidRPr="008E4310" w:rsidRDefault="006619CA" w:rsidP="006619CA">
      <w:pPr>
        <w:autoSpaceDE w:val="0"/>
        <w:autoSpaceDN w:val="0"/>
        <w:adjustRightInd w:val="0"/>
        <w:rPr>
          <w:rFonts w:eastAsia="HelveticaNeueLTStd-Lt" w:cstheme="minorHAnsi"/>
          <w:color w:val="000000"/>
          <w:szCs w:val="24"/>
        </w:rPr>
      </w:pPr>
      <w:r w:rsidRPr="008E4310">
        <w:rPr>
          <w:rFonts w:eastAsia="HelveticaNeueLTStd-Lt" w:cstheme="minorHAnsi"/>
          <w:color w:val="000000"/>
          <w:szCs w:val="24"/>
        </w:rPr>
        <w:t xml:space="preserve">The CRANAplus </w:t>
      </w:r>
      <w:r w:rsidRPr="008E4310">
        <w:rPr>
          <w:rFonts w:cstheme="minorHAnsi"/>
          <w:i/>
          <w:iCs/>
          <w:color w:val="000000"/>
          <w:szCs w:val="24"/>
        </w:rPr>
        <w:t xml:space="preserve">Remote primary care manual </w:t>
      </w:r>
      <w:r w:rsidRPr="008E4310">
        <w:rPr>
          <w:rFonts w:eastAsia="HelveticaNeueLTStd-Lt" w:cstheme="minorHAnsi"/>
          <w:color w:val="000000"/>
          <w:szCs w:val="24"/>
        </w:rPr>
        <w:t>also includes the option of using Lea charts.</w:t>
      </w:r>
      <w:r w:rsidRPr="008E4310">
        <w:rPr>
          <w:rFonts w:eastAsia="HelveticaNeueLTStd-Lt" w:cstheme="minorHAnsi"/>
          <w:color w:val="000000"/>
          <w:szCs w:val="24"/>
          <w:vertAlign w:val="superscript"/>
        </w:rPr>
        <w:t>26</w:t>
      </w:r>
      <w:r w:rsidRPr="008E4310">
        <w:rPr>
          <w:rFonts w:eastAsia="HelveticaNeueLTStd-Lt" w:cstheme="minorHAnsi"/>
          <w:color w:val="000000"/>
          <w:szCs w:val="24"/>
        </w:rPr>
        <w:t xml:space="preserve">  Screening questions are not as accurate as visual acuity testing for identifying visual acuity impairment.</w:t>
      </w:r>
      <w:r w:rsidRPr="008E4310">
        <w:rPr>
          <w:rFonts w:eastAsia="HelveticaNeueLTStd-Lt" w:cstheme="minorHAnsi"/>
          <w:color w:val="000000"/>
          <w:szCs w:val="24"/>
          <w:vertAlign w:val="superscript"/>
        </w:rPr>
        <w:t>27,28</w:t>
      </w:r>
      <w:r w:rsidRPr="008E4310">
        <w:rPr>
          <w:rFonts w:eastAsia="HelveticaNeueLTStd-Lt" w:cstheme="minorHAnsi"/>
          <w:color w:val="000000"/>
          <w:szCs w:val="24"/>
        </w:rPr>
        <w:t xml:space="preserve"> </w:t>
      </w:r>
    </w:p>
    <w:p w14:paraId="5A86736F" w14:textId="77777777" w:rsidR="006619CA" w:rsidRPr="008E4310" w:rsidRDefault="006619CA" w:rsidP="006619CA">
      <w:pPr>
        <w:autoSpaceDE w:val="0"/>
        <w:autoSpaceDN w:val="0"/>
        <w:adjustRightInd w:val="0"/>
        <w:rPr>
          <w:rFonts w:eastAsia="HelveticaNeueLTStd-Lt" w:cstheme="minorHAnsi"/>
          <w:color w:val="000000"/>
          <w:szCs w:val="24"/>
        </w:rPr>
      </w:pPr>
      <w:r w:rsidRPr="008E4310">
        <w:rPr>
          <w:rFonts w:eastAsia="HelveticaNeueLTStd-Lt" w:cstheme="minorHAnsi"/>
          <w:color w:val="000000"/>
          <w:szCs w:val="24"/>
        </w:rPr>
        <w:t>The E-test visual acuity charts for near and distance vision are useful for people who cannot read Roman letters</w:t>
      </w:r>
      <w:r w:rsidRPr="008E4310">
        <w:rPr>
          <w:rFonts w:eastAsia="HelveticaNeueLTStd-Lt" w:cstheme="minorHAnsi"/>
          <w:color w:val="000000"/>
          <w:szCs w:val="24"/>
          <w:vertAlign w:val="superscript"/>
        </w:rPr>
        <w:t>29</w:t>
      </w:r>
      <w:r w:rsidRPr="008E4310">
        <w:rPr>
          <w:rFonts w:eastAsia="HelveticaNeueLTStd-Lt" w:cstheme="minorHAnsi"/>
          <w:color w:val="000000"/>
          <w:szCs w:val="24"/>
        </w:rPr>
        <w:t xml:space="preserve"> and were used routinely in the NIEHS.</w:t>
      </w:r>
      <w:r w:rsidRPr="008E4310">
        <w:rPr>
          <w:rFonts w:eastAsia="HelveticaNeueLTStd-Lt" w:cstheme="minorHAnsi"/>
          <w:color w:val="000000"/>
          <w:szCs w:val="24"/>
          <w:vertAlign w:val="superscript"/>
        </w:rPr>
        <w:t>4</w:t>
      </w:r>
      <w:r w:rsidRPr="008E4310">
        <w:rPr>
          <w:rFonts w:eastAsia="HelveticaNeueLTStd-Lt" w:cstheme="minorHAnsi"/>
          <w:color w:val="000000"/>
          <w:szCs w:val="24"/>
        </w:rPr>
        <w:t xml:space="preserve"> The need to test near or ‘reading’ vision, especially in those aged over 40 years, is of even greater importance. Near vision test cards or in fact </w:t>
      </w:r>
      <w:r w:rsidRPr="008E4310">
        <w:rPr>
          <w:rFonts w:eastAsia="HelveticaNeueLTStd-Lt" w:cstheme="minorHAnsi"/>
          <w:color w:val="000000"/>
          <w:szCs w:val="24"/>
        </w:rPr>
        <w:lastRenderedPageBreak/>
        <w:t>any printed matter can be used to test near vision, and E-tests for near vision can also be used for the those who cannot read.</w:t>
      </w:r>
      <w:r w:rsidRPr="008E4310">
        <w:rPr>
          <w:rFonts w:eastAsia="HelveticaNeueLTStd-Lt" w:cstheme="minorHAnsi"/>
          <w:color w:val="000000"/>
          <w:szCs w:val="24"/>
          <w:vertAlign w:val="superscript"/>
        </w:rPr>
        <w:t>26</w:t>
      </w:r>
    </w:p>
    <w:p w14:paraId="73074735" w14:textId="77777777" w:rsidR="006619CA" w:rsidRPr="008E4310" w:rsidRDefault="006619CA" w:rsidP="006619CA">
      <w:pPr>
        <w:autoSpaceDE w:val="0"/>
        <w:autoSpaceDN w:val="0"/>
        <w:adjustRightInd w:val="0"/>
        <w:rPr>
          <w:rFonts w:cstheme="minorHAnsi"/>
          <w:color w:val="000000"/>
          <w:szCs w:val="24"/>
        </w:rPr>
      </w:pPr>
    </w:p>
    <w:p w14:paraId="7943ACF1" w14:textId="77777777" w:rsidR="006619CA" w:rsidRPr="008E4310" w:rsidRDefault="006619CA" w:rsidP="006619CA">
      <w:pPr>
        <w:autoSpaceDE w:val="0"/>
        <w:autoSpaceDN w:val="0"/>
        <w:adjustRightInd w:val="0"/>
        <w:rPr>
          <w:rFonts w:cstheme="minorHAnsi"/>
          <w:color w:val="000000"/>
          <w:szCs w:val="24"/>
        </w:rPr>
      </w:pPr>
      <w:r w:rsidRPr="008E4310">
        <w:rPr>
          <w:rFonts w:cstheme="minorHAnsi"/>
          <w:color w:val="000000"/>
          <w:szCs w:val="24"/>
        </w:rPr>
        <w:t>Vision testing resources and further training materials can be assessed online</w:t>
      </w:r>
      <w:r w:rsidRPr="008E4310">
        <w:rPr>
          <w:rStyle w:val="FootnoteReference"/>
          <w:rFonts w:cstheme="minorHAnsi"/>
          <w:color w:val="000000"/>
          <w:szCs w:val="24"/>
        </w:rPr>
        <w:footnoteReference w:id="18"/>
      </w:r>
      <w:r w:rsidRPr="008E4310">
        <w:rPr>
          <w:rFonts w:cstheme="minorHAnsi"/>
          <w:color w:val="000000"/>
          <w:szCs w:val="24"/>
        </w:rPr>
        <w:t xml:space="preserve"> or from optometry or ophthalmology professional bodies. </w:t>
      </w:r>
    </w:p>
    <w:p w14:paraId="344EA0F2" w14:textId="77777777" w:rsidR="006619CA" w:rsidRPr="00C003CF" w:rsidRDefault="006619CA" w:rsidP="006619CA">
      <w:pPr>
        <w:pStyle w:val="Heading3"/>
      </w:pPr>
      <w:r w:rsidRPr="00C003CF">
        <w:t>Cataract</w:t>
      </w:r>
    </w:p>
    <w:p w14:paraId="47814672" w14:textId="77777777" w:rsidR="006619CA" w:rsidRPr="008E4310" w:rsidRDefault="006619CA" w:rsidP="006619CA">
      <w:pPr>
        <w:autoSpaceDE w:val="0"/>
        <w:autoSpaceDN w:val="0"/>
        <w:adjustRightInd w:val="0"/>
        <w:rPr>
          <w:rFonts w:eastAsia="HelveticaNeueLTStd-Lt" w:cstheme="minorHAnsi"/>
          <w:color w:val="000000"/>
          <w:szCs w:val="24"/>
        </w:rPr>
      </w:pPr>
      <w:r w:rsidRPr="008E4310">
        <w:rPr>
          <w:rFonts w:eastAsia="HelveticaNeueLTStd-Lt" w:cstheme="minorHAnsi"/>
          <w:color w:val="000000"/>
          <w:szCs w:val="24"/>
        </w:rPr>
        <w:t>Cataract surgery has been shown to improve vision</w:t>
      </w:r>
      <w:r w:rsidRPr="008E4310">
        <w:rPr>
          <w:rFonts w:eastAsia="HelveticaNeueLTStd-Lt" w:cstheme="minorHAnsi"/>
          <w:color w:val="000000"/>
          <w:szCs w:val="24"/>
          <w:vertAlign w:val="superscript"/>
        </w:rPr>
        <w:t>27,30</w:t>
      </w:r>
      <w:r w:rsidRPr="008E4310">
        <w:rPr>
          <w:rFonts w:eastAsia="HelveticaNeueLTStd-Lt" w:cstheme="minorHAnsi"/>
          <w:color w:val="000000"/>
          <w:szCs w:val="24"/>
        </w:rPr>
        <w:t xml:space="preserve"> and quality of life,</w:t>
      </w:r>
      <w:r w:rsidRPr="008E4310">
        <w:rPr>
          <w:rFonts w:eastAsia="HelveticaNeueLTStd-Lt" w:cstheme="minorHAnsi"/>
          <w:color w:val="000000"/>
          <w:szCs w:val="24"/>
          <w:vertAlign w:val="superscript"/>
        </w:rPr>
        <w:t>30, 35</w:t>
      </w:r>
      <w:r w:rsidRPr="008E4310">
        <w:rPr>
          <w:rFonts w:eastAsia="HelveticaNeueLTStd-Lt" w:cstheme="minorHAnsi"/>
          <w:color w:val="000000"/>
          <w:szCs w:val="24"/>
        </w:rPr>
        <w:t xml:space="preserve"> and reduce the risk of car crash</w:t>
      </w:r>
      <w:r w:rsidRPr="008E4310">
        <w:rPr>
          <w:rFonts w:eastAsia="HelveticaNeueLTStd-Lt" w:cstheme="minorHAnsi"/>
          <w:color w:val="000000"/>
          <w:szCs w:val="24"/>
          <w:vertAlign w:val="superscript"/>
        </w:rPr>
        <w:t xml:space="preserve">31,32 </w:t>
      </w:r>
      <w:r w:rsidRPr="008E4310">
        <w:rPr>
          <w:rFonts w:eastAsia="HelveticaNeueLTStd-Lt" w:cstheme="minorHAnsi"/>
          <w:color w:val="000000"/>
          <w:szCs w:val="24"/>
        </w:rPr>
        <w:t>and the rates of falls in older people.</w:t>
      </w:r>
      <w:r w:rsidRPr="008E4310">
        <w:rPr>
          <w:rFonts w:eastAsia="HelveticaNeueLTStd-Lt" w:cstheme="minorHAnsi"/>
          <w:color w:val="000000"/>
          <w:szCs w:val="24"/>
          <w:vertAlign w:val="superscript"/>
        </w:rPr>
        <w:t>33,34</w:t>
      </w:r>
      <w:r w:rsidRPr="008E4310">
        <w:rPr>
          <w:rFonts w:eastAsia="HelveticaNeueLTStd-Lt" w:cstheme="minorHAnsi"/>
          <w:color w:val="000000"/>
          <w:szCs w:val="24"/>
        </w:rPr>
        <w:t xml:space="preserve"> </w:t>
      </w:r>
    </w:p>
    <w:p w14:paraId="457857C9" w14:textId="77777777" w:rsidR="006619CA" w:rsidRPr="008E4310" w:rsidRDefault="006619CA" w:rsidP="006619CA">
      <w:pPr>
        <w:autoSpaceDE w:val="0"/>
        <w:autoSpaceDN w:val="0"/>
        <w:adjustRightInd w:val="0"/>
        <w:rPr>
          <w:rFonts w:eastAsia="HelveticaNeueLTStd-Lt" w:cstheme="minorHAnsi"/>
          <w:color w:val="000000"/>
          <w:szCs w:val="24"/>
        </w:rPr>
      </w:pPr>
      <w:r w:rsidRPr="008E4310">
        <w:rPr>
          <w:rFonts w:eastAsia="HelveticaNeueLTStd-Lt" w:cstheme="minorHAnsi"/>
          <w:color w:val="000000"/>
          <w:szCs w:val="24"/>
        </w:rPr>
        <w:t>Risk factors for cataract include age,</w:t>
      </w:r>
      <w:r w:rsidRPr="008E4310">
        <w:rPr>
          <w:rFonts w:eastAsia="HelveticaNeueLTStd-Lt" w:cstheme="minorHAnsi"/>
          <w:color w:val="000000"/>
          <w:szCs w:val="24"/>
          <w:vertAlign w:val="superscript"/>
        </w:rPr>
        <w:t>36–38</w:t>
      </w:r>
      <w:r w:rsidRPr="008E4310">
        <w:rPr>
          <w:rFonts w:eastAsia="HelveticaNeueLTStd-Lt" w:cstheme="minorHAnsi"/>
          <w:color w:val="000000"/>
          <w:szCs w:val="24"/>
        </w:rPr>
        <w:t xml:space="preserve"> cumulative ocular exposure to ultraviolet light,</w:t>
      </w:r>
      <w:r w:rsidRPr="008E4310">
        <w:rPr>
          <w:rFonts w:eastAsia="HelveticaNeueLTStd-Lt" w:cstheme="minorHAnsi"/>
          <w:color w:val="000000"/>
          <w:szCs w:val="24"/>
          <w:vertAlign w:val="superscript"/>
        </w:rPr>
        <w:t>36–40</w:t>
      </w:r>
      <w:r w:rsidRPr="008E4310">
        <w:rPr>
          <w:rFonts w:eastAsia="HelveticaNeueLTStd-Lt" w:cstheme="minorHAnsi"/>
          <w:color w:val="000000"/>
          <w:szCs w:val="24"/>
        </w:rPr>
        <w:t xml:space="preserve"> diabetes and poor diabetic control,</w:t>
      </w:r>
      <w:r w:rsidRPr="008E4310">
        <w:rPr>
          <w:rFonts w:eastAsia="HelveticaNeueLTStd-Lt" w:cstheme="minorHAnsi"/>
          <w:color w:val="000000"/>
          <w:szCs w:val="24"/>
          <w:vertAlign w:val="superscript"/>
        </w:rPr>
        <w:t>37,41</w:t>
      </w:r>
      <w:r w:rsidRPr="008E4310">
        <w:rPr>
          <w:rFonts w:eastAsia="HelveticaNeueLTStd-Lt" w:cstheme="minorHAnsi"/>
          <w:color w:val="000000"/>
          <w:szCs w:val="24"/>
        </w:rPr>
        <w:t xml:space="preserve"> smoking,</w:t>
      </w:r>
      <w:r w:rsidRPr="008E4310">
        <w:rPr>
          <w:rFonts w:eastAsia="HelveticaNeueLTStd-Lt" w:cstheme="minorHAnsi"/>
          <w:color w:val="000000"/>
          <w:szCs w:val="24"/>
          <w:vertAlign w:val="superscript"/>
        </w:rPr>
        <w:t>36–38,42</w:t>
      </w:r>
      <w:r w:rsidRPr="008E4310">
        <w:rPr>
          <w:rFonts w:eastAsia="HelveticaNeueLTStd-Lt" w:cstheme="minorHAnsi"/>
          <w:color w:val="000000"/>
          <w:szCs w:val="24"/>
        </w:rPr>
        <w:t xml:space="preserve"> alcohol use,</w:t>
      </w:r>
      <w:r w:rsidRPr="008E4310">
        <w:rPr>
          <w:rFonts w:eastAsia="HelveticaNeueLTStd-Lt" w:cstheme="minorHAnsi"/>
          <w:color w:val="000000"/>
          <w:szCs w:val="24"/>
          <w:vertAlign w:val="superscript"/>
        </w:rPr>
        <w:t>37,38</w:t>
      </w:r>
      <w:r w:rsidRPr="008E4310">
        <w:rPr>
          <w:rFonts w:eastAsia="HelveticaNeueLTStd-Lt" w:cstheme="minorHAnsi"/>
          <w:color w:val="000000"/>
          <w:szCs w:val="24"/>
        </w:rPr>
        <w:t xml:space="preserve"> family history of cataract, ocular injury, use of corticosteroids and high myopia.</w:t>
      </w:r>
      <w:r w:rsidRPr="008E4310">
        <w:rPr>
          <w:rFonts w:eastAsia="HelveticaNeueLTStd-Lt" w:cstheme="minorHAnsi"/>
          <w:color w:val="000000"/>
          <w:szCs w:val="24"/>
          <w:vertAlign w:val="superscript"/>
        </w:rPr>
        <w:t>37</w:t>
      </w:r>
      <w:r w:rsidRPr="008E4310">
        <w:rPr>
          <w:rFonts w:eastAsia="HelveticaNeueLTStd-Lt" w:cstheme="minorHAnsi"/>
          <w:color w:val="000000"/>
          <w:szCs w:val="24"/>
        </w:rPr>
        <w:t xml:space="preserve"> Although exposure to sunlight accounts for only 10% of cataracts in urban, non-tropical Australian settings,</w:t>
      </w:r>
      <w:r w:rsidRPr="008E4310">
        <w:rPr>
          <w:rFonts w:eastAsia="HelveticaNeueLTStd-Lt" w:cstheme="minorHAnsi"/>
          <w:color w:val="000000"/>
          <w:szCs w:val="24"/>
          <w:vertAlign w:val="superscript"/>
        </w:rPr>
        <w:t>40</w:t>
      </w:r>
      <w:r w:rsidRPr="008E4310">
        <w:rPr>
          <w:rFonts w:eastAsia="HelveticaNeueLTStd-Lt" w:cstheme="minorHAnsi"/>
          <w:color w:val="000000"/>
          <w:szCs w:val="24"/>
        </w:rPr>
        <w:t xml:space="preserve"> this risk factor may be more important in northern Australian populations. A diet high in fruit and vegetable intake is associated with a lower risk of developing cataract,</w:t>
      </w:r>
      <w:r w:rsidRPr="008E4310">
        <w:rPr>
          <w:rFonts w:eastAsia="HelveticaNeueLTStd-Lt" w:cstheme="minorHAnsi"/>
          <w:color w:val="000000"/>
          <w:szCs w:val="24"/>
          <w:vertAlign w:val="superscript"/>
        </w:rPr>
        <w:t>37</w:t>
      </w:r>
      <w:r w:rsidRPr="008E4310">
        <w:rPr>
          <w:rFonts w:eastAsia="HelveticaNeueLTStd-Lt" w:cstheme="minorHAnsi"/>
          <w:color w:val="000000"/>
          <w:szCs w:val="24"/>
        </w:rPr>
        <w:t xml:space="preserve"> and a recent meta-analysis indicated a clinically relevant reduction in cataract incidence associated with statin use.</w:t>
      </w:r>
      <w:r w:rsidRPr="008E4310">
        <w:rPr>
          <w:rFonts w:eastAsia="HelveticaNeueLTStd-Lt" w:cstheme="minorHAnsi"/>
          <w:color w:val="000000"/>
          <w:szCs w:val="24"/>
          <w:vertAlign w:val="superscript"/>
        </w:rPr>
        <w:t>44</w:t>
      </w:r>
    </w:p>
    <w:p w14:paraId="34CC81BA" w14:textId="77777777" w:rsidR="0086423E" w:rsidRPr="00E61830" w:rsidRDefault="006619CA" w:rsidP="00E61830">
      <w:pPr>
        <w:pStyle w:val="Heading3"/>
      </w:pPr>
      <w:r w:rsidRPr="00C003CF">
        <w:t>Diabetic retinopathy</w:t>
      </w:r>
    </w:p>
    <w:p w14:paraId="24998FE4" w14:textId="77777777" w:rsidR="0086423E" w:rsidRDefault="0086423E" w:rsidP="00E221E6">
      <w:pPr>
        <w:pStyle w:val="BodyText"/>
      </w:pPr>
      <w:r>
        <w:t>General practitioners are well placed to carry out screening for diabetic retinopathy based on the RANZCO referral pathway.</w:t>
      </w:r>
      <w:r>
        <w:rPr>
          <w:rStyle w:val="FootnoteReference"/>
        </w:rPr>
        <w:footnoteReference w:id="19"/>
      </w:r>
      <w:r>
        <w:t xml:space="preserve"> </w:t>
      </w:r>
    </w:p>
    <w:p w14:paraId="3231F712" w14:textId="77777777" w:rsidR="0086423E" w:rsidRDefault="0086423E" w:rsidP="00E221E6">
      <w:pPr>
        <w:pStyle w:val="BodyText"/>
      </w:pPr>
      <w:r>
        <w:t>GPs play a significant role in regional and rural areas in screening for diabetic retinopathy</w:t>
      </w:r>
      <w:r w:rsidR="00E61830">
        <w:t xml:space="preserve"> (DR)</w:t>
      </w:r>
      <w:r>
        <w:t>. There are Medicare item numbers for the use of nonmydriatic retinal cameras for screening (12325 or 12326)</w:t>
      </w:r>
      <w:r w:rsidR="00E61830">
        <w:t xml:space="preserve">. </w:t>
      </w:r>
      <w:r>
        <w:t>Examples of standard grading photographs are available and can be used as a reference.</w:t>
      </w:r>
      <w:r>
        <w:rPr>
          <w:rStyle w:val="FootnoteReference"/>
        </w:rPr>
        <w:footnoteReference w:id="20"/>
      </w:r>
      <w:r>
        <w:t xml:space="preserve"> </w:t>
      </w:r>
    </w:p>
    <w:p w14:paraId="41E02DD4" w14:textId="77777777" w:rsidR="00E61830" w:rsidRPr="00E61830" w:rsidRDefault="0086423E" w:rsidP="00E221E6">
      <w:pPr>
        <w:pStyle w:val="BodyText"/>
      </w:pPr>
      <w:r>
        <w:t>General practitioners carrying out diabetic retinopathy screening may sometimes encounter a situation where the best corrected visual acuity (with spectacles or a pin hole, or both) is less than 6/12 and the fundus photograph is normal and no cause for this reduced acuity is obvious. If an ophthalmologist is not available to review the patient, it is recommended that the patient should first be referred to an optometrist (if possible) to rule out other causes of the reduced vision, before referring the patient to an ophthalmologist.</w:t>
      </w:r>
      <w:r>
        <w:rPr>
          <w:rStyle w:val="FootnoteReference"/>
        </w:rPr>
        <w:footnoteReference w:id="21"/>
      </w:r>
      <w:r w:rsidR="00E61830">
        <w:t xml:space="preserve"> </w:t>
      </w:r>
    </w:p>
    <w:p w14:paraId="504AF202" w14:textId="77777777" w:rsidR="0086423E" w:rsidRPr="00E61830" w:rsidRDefault="00E61830" w:rsidP="00E221E6">
      <w:pPr>
        <w:pStyle w:val="BodyText"/>
        <w:rPr>
          <w:rFonts w:asciiTheme="majorHAnsi" w:eastAsia="HelveticaNeueLTStd-Lt" w:hAnsiTheme="majorHAnsi" w:cstheme="majorHAnsi"/>
          <w:color w:val="000000"/>
        </w:rPr>
      </w:pPr>
      <w:r w:rsidRPr="00E61830">
        <w:rPr>
          <w:rFonts w:asciiTheme="majorHAnsi" w:hAnsiTheme="majorHAnsi" w:cstheme="majorHAnsi"/>
        </w:rPr>
        <w:t>Adherence to RANZCO patient screening and referral pathway guidelines for diabetic retinopathy is recommended.</w:t>
      </w:r>
      <w:r w:rsidRPr="00E61830">
        <w:rPr>
          <w:rStyle w:val="FootnoteReference"/>
          <w:rFonts w:asciiTheme="majorHAnsi" w:hAnsiTheme="majorHAnsi" w:cstheme="majorHAnsi"/>
        </w:rPr>
        <w:footnoteReference w:id="22"/>
      </w:r>
    </w:p>
    <w:p w14:paraId="66332851" w14:textId="77777777" w:rsidR="006619CA" w:rsidRPr="00C003CF" w:rsidRDefault="006619CA" w:rsidP="00E221E6">
      <w:pPr>
        <w:pStyle w:val="BodyText"/>
        <w:rPr>
          <w:rFonts w:eastAsia="HelveticaNeueLTStd-Lt"/>
        </w:rPr>
      </w:pPr>
      <w:r w:rsidRPr="00C003CF">
        <w:rPr>
          <w:rFonts w:eastAsia="HelveticaNeueLTStd-Lt"/>
        </w:rPr>
        <w:t>The overall prevalence of DR in those with known diabetes in Australia is around 25%.</w:t>
      </w:r>
      <w:r w:rsidRPr="00756700">
        <w:rPr>
          <w:rFonts w:eastAsia="HelveticaNeueLTStd-Lt"/>
          <w:vertAlign w:val="superscript"/>
        </w:rPr>
        <w:t>45–47</w:t>
      </w:r>
      <w:r w:rsidRPr="00C003CF">
        <w:rPr>
          <w:rFonts w:eastAsia="HelveticaNeueLTStd-Lt"/>
        </w:rPr>
        <w:t xml:space="preserve"> </w:t>
      </w:r>
    </w:p>
    <w:p w14:paraId="539E935A" w14:textId="77777777" w:rsidR="006619CA" w:rsidRDefault="006619CA" w:rsidP="00E221E6">
      <w:pPr>
        <w:pStyle w:val="BodyText"/>
        <w:rPr>
          <w:rFonts w:eastAsia="HelveticaNeueLTStd-Lt"/>
        </w:rPr>
      </w:pPr>
      <w:r w:rsidRPr="00C003CF">
        <w:rPr>
          <w:rFonts w:eastAsia="HelveticaNeueLTStd-Lt"/>
        </w:rPr>
        <w:t>Duration of diabetes is the strongest factor determining DR prevalence;</w:t>
      </w:r>
      <w:r w:rsidRPr="008A1753">
        <w:rPr>
          <w:rFonts w:eastAsia="HelveticaNeueLTStd-Lt"/>
          <w:vertAlign w:val="superscript"/>
        </w:rPr>
        <w:t>38,49–51</w:t>
      </w:r>
      <w:r w:rsidRPr="00C003CF">
        <w:rPr>
          <w:rFonts w:eastAsia="HelveticaNeueLTStd-Lt"/>
        </w:rPr>
        <w:t xml:space="preserve"> however, early onset DR</w:t>
      </w:r>
      <w:r>
        <w:rPr>
          <w:rFonts w:eastAsia="HelveticaNeueLTStd-Lt"/>
        </w:rPr>
        <w:t xml:space="preserve"> </w:t>
      </w:r>
      <w:r w:rsidRPr="00C003CF">
        <w:rPr>
          <w:rFonts w:eastAsia="HelveticaNeueLTStd-Lt"/>
        </w:rPr>
        <w:t>(within 10 years of onset of diabetes) is more common in Aboriginal and Torres Strait Islander peoples than</w:t>
      </w:r>
      <w:r>
        <w:rPr>
          <w:rFonts w:eastAsia="HelveticaNeueLTStd-Lt"/>
        </w:rPr>
        <w:t xml:space="preserve"> </w:t>
      </w:r>
      <w:r w:rsidRPr="00C003CF">
        <w:rPr>
          <w:rFonts w:eastAsia="HelveticaNeueLTStd-Lt"/>
        </w:rPr>
        <w:t>in non-Indigenous people.</w:t>
      </w:r>
      <w:r w:rsidRPr="008A1753">
        <w:rPr>
          <w:rFonts w:eastAsia="HelveticaNeueLTStd-Lt"/>
          <w:vertAlign w:val="superscript"/>
        </w:rPr>
        <w:t>38</w:t>
      </w:r>
      <w:r w:rsidRPr="00C003CF">
        <w:rPr>
          <w:rFonts w:eastAsia="HelveticaNeueLTStd-Lt"/>
        </w:rPr>
        <w:t xml:space="preserve"> The most important systemic factors associated with increased risk of DR are</w:t>
      </w:r>
      <w:r>
        <w:rPr>
          <w:rFonts w:eastAsia="HelveticaNeueLTStd-Lt"/>
        </w:rPr>
        <w:t xml:space="preserve"> </w:t>
      </w:r>
      <w:r w:rsidRPr="00C003CF">
        <w:rPr>
          <w:rFonts w:eastAsia="HelveticaNeueLTStd-Lt"/>
        </w:rPr>
        <w:t>poor glycaemic control,</w:t>
      </w:r>
      <w:r w:rsidRPr="008A1753">
        <w:rPr>
          <w:rFonts w:eastAsia="HelveticaNeueLTStd-Lt"/>
          <w:vertAlign w:val="superscript"/>
        </w:rPr>
        <w:t>38,45,49,50,52</w:t>
      </w:r>
      <w:r w:rsidRPr="00C003CF">
        <w:rPr>
          <w:rFonts w:eastAsia="HelveticaNeueLTStd-Lt"/>
        </w:rPr>
        <w:t xml:space="preserve"> hypertension,</w:t>
      </w:r>
      <w:r w:rsidRPr="008A1753">
        <w:rPr>
          <w:rFonts w:eastAsia="HelveticaNeueLTStd-Lt"/>
          <w:vertAlign w:val="superscript"/>
        </w:rPr>
        <w:t>38,50,52</w:t>
      </w:r>
      <w:r w:rsidRPr="00C003CF">
        <w:rPr>
          <w:rFonts w:eastAsia="HelveticaNeueLTStd-Lt"/>
        </w:rPr>
        <w:t xml:space="preserve"> dyslipidaemia</w:t>
      </w:r>
      <w:r>
        <w:rPr>
          <w:rFonts w:eastAsia="HelveticaNeueLTStd-Lt"/>
        </w:rPr>
        <w:t xml:space="preserve"> </w:t>
      </w:r>
      <w:r w:rsidRPr="008A1753">
        <w:rPr>
          <w:rFonts w:eastAsia="HelveticaNeueLTStd-Lt"/>
          <w:vertAlign w:val="superscript"/>
        </w:rPr>
        <w:t>38,50,52</w:t>
      </w:r>
      <w:r w:rsidRPr="00C003CF">
        <w:rPr>
          <w:rFonts w:eastAsia="HelveticaNeueLTStd-Lt"/>
        </w:rPr>
        <w:t xml:space="preserve"> and renal impairment.</w:t>
      </w:r>
      <w:r w:rsidRPr="008A1753">
        <w:rPr>
          <w:rFonts w:eastAsia="HelveticaNeueLTStd-Lt"/>
          <w:vertAlign w:val="superscript"/>
        </w:rPr>
        <w:t>50,52</w:t>
      </w:r>
      <w:r w:rsidRPr="00C003CF">
        <w:rPr>
          <w:rFonts w:eastAsia="HelveticaNeueLTStd-Lt"/>
        </w:rPr>
        <w:t xml:space="preserve"> There is a</w:t>
      </w:r>
      <w:r>
        <w:rPr>
          <w:rFonts w:eastAsia="HelveticaNeueLTStd-Lt"/>
        </w:rPr>
        <w:t xml:space="preserve"> </w:t>
      </w:r>
      <w:r w:rsidRPr="00C003CF">
        <w:rPr>
          <w:rFonts w:eastAsia="HelveticaNeueLTStd-Lt"/>
        </w:rPr>
        <w:t>possible association with alcohol and the development of diabetic retinopathy.</w:t>
      </w:r>
      <w:r w:rsidRPr="008A1753">
        <w:rPr>
          <w:rFonts w:eastAsia="HelveticaNeueLTStd-Lt"/>
          <w:vertAlign w:val="superscript"/>
        </w:rPr>
        <w:t>37</w:t>
      </w:r>
      <w:r>
        <w:rPr>
          <w:rFonts w:eastAsia="HelveticaNeueLTStd-Lt"/>
        </w:rPr>
        <w:t xml:space="preserve"> </w:t>
      </w:r>
    </w:p>
    <w:p w14:paraId="0587BB11" w14:textId="77777777" w:rsidR="006619CA" w:rsidRPr="00C003CF" w:rsidRDefault="006619CA" w:rsidP="00E221E6">
      <w:pPr>
        <w:pStyle w:val="BodyText"/>
        <w:rPr>
          <w:rFonts w:eastAsia="HelveticaNeueLTStd-Lt"/>
        </w:rPr>
      </w:pPr>
      <w:r w:rsidRPr="00C003CF">
        <w:rPr>
          <w:rFonts w:eastAsia="HelveticaNeueLTStd-Lt"/>
        </w:rPr>
        <w:lastRenderedPageBreak/>
        <w:t>Pregnancy is an independent risk factor for worsening of DR.</w:t>
      </w:r>
      <w:r w:rsidRPr="008A1753">
        <w:rPr>
          <w:rFonts w:eastAsia="HelveticaNeueLTStd-Lt"/>
          <w:vertAlign w:val="superscript"/>
        </w:rPr>
        <w:t>38,50,53</w:t>
      </w:r>
      <w:r w:rsidRPr="00C003CF">
        <w:rPr>
          <w:rFonts w:eastAsia="HelveticaNeueLTStd-Lt"/>
        </w:rPr>
        <w:t xml:space="preserve"> Progression of retinopathy occurs at</w:t>
      </w:r>
      <w:r>
        <w:rPr>
          <w:rFonts w:eastAsia="HelveticaNeueLTStd-Lt"/>
        </w:rPr>
        <w:t xml:space="preserve"> </w:t>
      </w:r>
      <w:r w:rsidRPr="00C003CF">
        <w:rPr>
          <w:rFonts w:eastAsia="HelveticaNeueLTStd-Lt"/>
        </w:rPr>
        <w:t>approximately double the rate in pregnant women compared with non-pregnant women and is a leading</w:t>
      </w:r>
      <w:r>
        <w:rPr>
          <w:rFonts w:eastAsia="HelveticaNeueLTStd-Lt"/>
        </w:rPr>
        <w:t xml:space="preserve"> </w:t>
      </w:r>
      <w:r w:rsidRPr="00C003CF">
        <w:rPr>
          <w:rFonts w:eastAsia="HelveticaNeueLTStd-Lt"/>
        </w:rPr>
        <w:t>cause of blindness in women who have pre-existing diabetes during their childbearing years.</w:t>
      </w:r>
      <w:r w:rsidRPr="008A1753">
        <w:rPr>
          <w:rFonts w:eastAsia="HelveticaNeueLTStd-Lt"/>
          <w:vertAlign w:val="superscript"/>
        </w:rPr>
        <w:t>53</w:t>
      </w:r>
    </w:p>
    <w:p w14:paraId="432026B6" w14:textId="77777777" w:rsidR="006619CA" w:rsidRPr="00B562E1" w:rsidRDefault="006619CA" w:rsidP="00E221E6">
      <w:pPr>
        <w:pStyle w:val="BodyText"/>
        <w:rPr>
          <w:rFonts w:eastAsia="HelveticaNeueLTStd-Lt"/>
        </w:rPr>
      </w:pPr>
      <w:r w:rsidRPr="00B562E1">
        <w:rPr>
          <w:rFonts w:eastAsia="HelveticaNeueLTStd-Lt"/>
        </w:rPr>
        <w:t>Current Australian recommendations are that all persons with diabetes should be screened and evaluated for retinopathy by an optometrist or ophthalmologist at the time of diagnosis, with recommended review interval for those with no or minimal retinopathy at 1 or 2 years)</w:t>
      </w:r>
      <w:r w:rsidRPr="00B562E1">
        <w:rPr>
          <w:rStyle w:val="FootnoteReference"/>
          <w:rFonts w:asciiTheme="majorHAnsi" w:eastAsia="HelveticaNeueLTStd-Lt" w:hAnsiTheme="majorHAnsi" w:cstheme="majorHAnsi"/>
          <w:color w:val="000000"/>
        </w:rPr>
        <w:footnoteReference w:id="23"/>
      </w:r>
      <w:r w:rsidRPr="00B562E1">
        <w:rPr>
          <w:rFonts w:eastAsia="HelveticaNeueLTStd-Lt"/>
        </w:rPr>
        <w:t xml:space="preserve">.  </w:t>
      </w:r>
    </w:p>
    <w:p w14:paraId="4379DC0C" w14:textId="77777777" w:rsidR="006619CA" w:rsidRPr="00B562E1" w:rsidRDefault="006619CA" w:rsidP="00E221E6">
      <w:pPr>
        <w:pStyle w:val="BodyText"/>
        <w:rPr>
          <w:rFonts w:eastAsia="HelveticaNeueLTStd-Lt"/>
        </w:rPr>
      </w:pPr>
      <w:r w:rsidRPr="00B562E1">
        <w:rPr>
          <w:rFonts w:eastAsia="HelveticaNeueLTStd-Lt"/>
        </w:rPr>
        <w:t>Patients with higher risk (</w:t>
      </w:r>
      <w:r w:rsidR="00DE2453" w:rsidRPr="00B562E1">
        <w:rPr>
          <w:rFonts w:eastAsia="HelveticaNeueLTStd-Lt"/>
        </w:rPr>
        <w:t>e.g.</w:t>
      </w:r>
      <w:r w:rsidRPr="00B562E1">
        <w:rPr>
          <w:rFonts w:eastAsia="HelveticaNeueLTStd-Lt"/>
        </w:rPr>
        <w:t xml:space="preserve"> longer duration of diabetes; suboptimal glycaemic management, blood pressure or blood lipid control; people from a non-English-speaking background) should be reviewed at least annually.</w:t>
      </w:r>
    </w:p>
    <w:p w14:paraId="34FBA096" w14:textId="77777777" w:rsidR="006619CA" w:rsidRDefault="006619CA" w:rsidP="00E221E6">
      <w:pPr>
        <w:pStyle w:val="BodyText"/>
        <w:rPr>
          <w:rFonts w:eastAsia="HelveticaNeueLTStd-Lt"/>
        </w:rPr>
      </w:pPr>
      <w:r w:rsidRPr="00B562E1">
        <w:rPr>
          <w:rFonts w:eastAsia="HelveticaNeueLTStd-Lt"/>
        </w:rPr>
        <w:t>Aboriginal and Torres Strait Islander people with diabetes should have visual acuity and retinal assessment (by dilated fundus examination or retinal photography) at the diagnosis of diabetes, and then yearly.</w:t>
      </w:r>
      <w:r w:rsidRPr="00B562E1">
        <w:rPr>
          <w:rFonts w:eastAsia="HelveticaNeueLTStd-Lt"/>
          <w:vertAlign w:val="superscript"/>
        </w:rPr>
        <w:t>47,</w:t>
      </w:r>
      <w:r>
        <w:rPr>
          <w:rFonts w:eastAsia="HelveticaNeueLTStd-Lt"/>
          <w:vertAlign w:val="superscript"/>
        </w:rPr>
        <w:t>48,</w:t>
      </w:r>
      <w:r w:rsidRPr="00B562E1">
        <w:rPr>
          <w:rFonts w:eastAsia="HelveticaNeueLTStd-Lt"/>
          <w:vertAlign w:val="superscript"/>
        </w:rPr>
        <w:t>50,54</w:t>
      </w:r>
      <w:r w:rsidRPr="00C003CF">
        <w:rPr>
          <w:rFonts w:eastAsia="HelveticaNeueLTStd-Lt"/>
        </w:rPr>
        <w:t xml:space="preserve"> </w:t>
      </w:r>
    </w:p>
    <w:p w14:paraId="344C675F" w14:textId="77777777" w:rsidR="006619CA" w:rsidRDefault="006619CA" w:rsidP="00E221E6">
      <w:pPr>
        <w:pStyle w:val="BodyText"/>
        <w:rPr>
          <w:rFonts w:eastAsia="HelveticaNeueLTStd-Lt"/>
        </w:rPr>
      </w:pPr>
      <w:r w:rsidRPr="00C003CF">
        <w:rPr>
          <w:rFonts w:eastAsia="HelveticaNeueLTStd-Lt"/>
        </w:rPr>
        <w:t>Establishing an effective referral process for those with</w:t>
      </w:r>
      <w:r>
        <w:rPr>
          <w:rFonts w:eastAsia="HelveticaNeueLTStd-Lt"/>
        </w:rPr>
        <w:t xml:space="preserve"> </w:t>
      </w:r>
      <w:r w:rsidRPr="00C003CF">
        <w:rPr>
          <w:rFonts w:eastAsia="HelveticaNeueLTStd-Lt"/>
        </w:rPr>
        <w:t>retinopathy is important. People with diabetes may have refractive error and are at increased risk of</w:t>
      </w:r>
      <w:r>
        <w:rPr>
          <w:rFonts w:eastAsia="HelveticaNeueLTStd-Lt"/>
        </w:rPr>
        <w:t xml:space="preserve"> </w:t>
      </w:r>
      <w:r w:rsidRPr="00C003CF">
        <w:rPr>
          <w:rFonts w:eastAsia="HelveticaNeueLTStd-Lt"/>
        </w:rPr>
        <w:t>developing cataract. Screening and referral pathways for these conditions are also important in providing</w:t>
      </w:r>
      <w:r w:rsidR="00E61830">
        <w:rPr>
          <w:rFonts w:eastAsia="HelveticaNeueLTStd-Lt"/>
        </w:rPr>
        <w:t xml:space="preserve"> </w:t>
      </w:r>
      <w:r w:rsidRPr="00C003CF">
        <w:rPr>
          <w:rFonts w:eastAsia="HelveticaNeueLTStd-Lt"/>
        </w:rPr>
        <w:t>appropriate eye care for those with diabetes.</w:t>
      </w:r>
    </w:p>
    <w:p w14:paraId="722668EC" w14:textId="77777777" w:rsidR="006619CA" w:rsidRDefault="006619CA" w:rsidP="00E221E6">
      <w:pPr>
        <w:pStyle w:val="BodyText"/>
        <w:rPr>
          <w:rFonts w:eastAsia="HelveticaNeueLTStd-Lt"/>
        </w:rPr>
      </w:pPr>
      <w:r w:rsidRPr="00C003CF">
        <w:rPr>
          <w:rFonts w:eastAsia="HelveticaNeueLTStd-Lt"/>
        </w:rPr>
        <w:t>Regular follow-up with early detection and timely treatment of vision-threatening retinopathy enables the</w:t>
      </w:r>
      <w:r>
        <w:rPr>
          <w:rFonts w:eastAsia="HelveticaNeueLTStd-Lt"/>
        </w:rPr>
        <w:t xml:space="preserve"> </w:t>
      </w:r>
      <w:r w:rsidRPr="00C003CF">
        <w:rPr>
          <w:rFonts w:eastAsia="HelveticaNeueLTStd-Lt"/>
        </w:rPr>
        <w:t>prevention of up to 98% of visual loss.</w:t>
      </w:r>
      <w:r w:rsidRPr="000E22C4">
        <w:rPr>
          <w:rFonts w:eastAsia="HelveticaNeueLTStd-Lt"/>
          <w:vertAlign w:val="superscript"/>
        </w:rPr>
        <w:t>50–52,55</w:t>
      </w:r>
      <w:r w:rsidRPr="00C003CF">
        <w:rPr>
          <w:rFonts w:eastAsia="HelveticaNeueLTStd-Lt"/>
        </w:rPr>
        <w:t xml:space="preserve"> Those at high risk (poor glycaemic control, hypertension,</w:t>
      </w:r>
      <w:r>
        <w:rPr>
          <w:rFonts w:eastAsia="HelveticaNeueLTStd-Lt"/>
        </w:rPr>
        <w:t xml:space="preserve"> </w:t>
      </w:r>
      <w:r w:rsidRPr="00C003CF">
        <w:rPr>
          <w:rFonts w:eastAsia="HelveticaNeueLTStd-Lt"/>
        </w:rPr>
        <w:t>dyslipidaemia and longer duration of diabetes),</w:t>
      </w:r>
      <w:r>
        <w:rPr>
          <w:rFonts w:eastAsia="HelveticaNeueLTStd-Lt"/>
        </w:rPr>
        <w:t xml:space="preserve"> </w:t>
      </w:r>
      <w:r w:rsidRPr="00C003CF">
        <w:rPr>
          <w:rFonts w:eastAsia="HelveticaNeueLTStd-Lt"/>
        </w:rPr>
        <w:t>should be screened annually.</w:t>
      </w:r>
      <w:r w:rsidRPr="000E22C4">
        <w:rPr>
          <w:rFonts w:eastAsia="HelveticaNeueLTStd-Lt"/>
          <w:vertAlign w:val="superscript"/>
        </w:rPr>
        <w:t>47,50,54,56</w:t>
      </w:r>
      <w:r w:rsidRPr="00C003CF">
        <w:rPr>
          <w:rFonts w:eastAsia="HelveticaNeueLTStd-Lt"/>
        </w:rPr>
        <w:t xml:space="preserve"> </w:t>
      </w:r>
    </w:p>
    <w:p w14:paraId="46941587" w14:textId="77777777" w:rsidR="006619CA" w:rsidRPr="000E22C4" w:rsidRDefault="006619CA" w:rsidP="00E221E6">
      <w:pPr>
        <w:pStyle w:val="BodyText"/>
        <w:rPr>
          <w:rFonts w:eastAsia="HelveticaNeueLTStd-Lt"/>
        </w:rPr>
      </w:pPr>
      <w:r w:rsidRPr="00C003CF">
        <w:rPr>
          <w:rFonts w:eastAsia="HelveticaNeueLTStd-Lt"/>
        </w:rPr>
        <w:t>Screening for children</w:t>
      </w:r>
      <w:r>
        <w:rPr>
          <w:rFonts w:eastAsia="HelveticaNeueLTStd-Lt"/>
        </w:rPr>
        <w:t xml:space="preserve"> </w:t>
      </w:r>
      <w:r w:rsidRPr="00C003CF">
        <w:rPr>
          <w:rFonts w:eastAsia="HelveticaNeueLTStd-Lt"/>
        </w:rPr>
        <w:t>with diabetes should begin at puberty unless clinical concerns become apparent before this.</w:t>
      </w:r>
      <w:r w:rsidRPr="000E22C4">
        <w:rPr>
          <w:rFonts w:eastAsia="HelveticaNeueLTStd-Lt"/>
          <w:vertAlign w:val="superscript"/>
        </w:rPr>
        <w:t>47,50,54</w:t>
      </w:r>
    </w:p>
    <w:p w14:paraId="3A0AB62F" w14:textId="77777777" w:rsidR="006619CA" w:rsidRDefault="006619CA" w:rsidP="00E221E6">
      <w:pPr>
        <w:pStyle w:val="BodyText"/>
        <w:rPr>
          <w:rFonts w:eastAsia="HelveticaNeueLTStd-Lt"/>
        </w:rPr>
      </w:pPr>
      <w:r w:rsidRPr="00C003CF">
        <w:rPr>
          <w:rFonts w:eastAsia="HelveticaNeueLTStd-Lt"/>
        </w:rPr>
        <w:t>Mydriatic</w:t>
      </w:r>
      <w:r>
        <w:rPr>
          <w:rFonts w:eastAsia="HelveticaNeueLTStd-Lt"/>
        </w:rPr>
        <w:t xml:space="preserve"> </w:t>
      </w:r>
      <w:r w:rsidRPr="00C003CF">
        <w:rPr>
          <w:rFonts w:eastAsia="HelveticaNeueLTStd-Lt"/>
        </w:rPr>
        <w:t>or non-mydriatic retinal photography screening has been shown to be an effective alternative to dilated</w:t>
      </w:r>
      <w:r>
        <w:rPr>
          <w:rFonts w:eastAsia="HelveticaNeueLTStd-Lt"/>
        </w:rPr>
        <w:t xml:space="preserve"> </w:t>
      </w:r>
      <w:r w:rsidRPr="00C003CF">
        <w:rPr>
          <w:rFonts w:eastAsia="HelveticaNeueLTStd-Lt"/>
        </w:rPr>
        <w:t>fundus examination</w:t>
      </w:r>
      <w:r>
        <w:rPr>
          <w:rFonts w:eastAsia="HelveticaNeueLTStd-Lt"/>
        </w:rPr>
        <w:t xml:space="preserve"> </w:t>
      </w:r>
      <w:r w:rsidRPr="000E22C4">
        <w:rPr>
          <w:rFonts w:eastAsia="HelveticaNeueLTStd-Lt"/>
          <w:vertAlign w:val="superscript"/>
        </w:rPr>
        <w:t xml:space="preserve">50,57–59 </w:t>
      </w:r>
      <w:r w:rsidRPr="00C003CF">
        <w:rPr>
          <w:rFonts w:eastAsia="HelveticaNeueLTStd-Lt"/>
        </w:rPr>
        <w:t>and is being used routinely in some isolated areas of Australia with support through</w:t>
      </w:r>
      <w:r>
        <w:rPr>
          <w:rFonts w:eastAsia="HelveticaNeueLTStd-Lt"/>
        </w:rPr>
        <w:t xml:space="preserve"> </w:t>
      </w:r>
      <w:r w:rsidRPr="00C003CF">
        <w:rPr>
          <w:rFonts w:eastAsia="HelveticaNeueLTStd-Lt"/>
        </w:rPr>
        <w:t>telemedicine.</w:t>
      </w:r>
      <w:r w:rsidRPr="000E22C4">
        <w:rPr>
          <w:rFonts w:eastAsia="HelveticaNeueLTStd-Lt"/>
          <w:vertAlign w:val="superscript"/>
        </w:rPr>
        <w:t>54</w:t>
      </w:r>
      <w:r w:rsidRPr="00C003CF">
        <w:rPr>
          <w:rFonts w:eastAsia="HelveticaNeueLTStd-Lt"/>
        </w:rPr>
        <w:t xml:space="preserve"> </w:t>
      </w:r>
    </w:p>
    <w:p w14:paraId="47FBF042" w14:textId="77777777" w:rsidR="006619CA" w:rsidRPr="00C003CF" w:rsidRDefault="006619CA" w:rsidP="00E221E6">
      <w:pPr>
        <w:pStyle w:val="BodyText"/>
        <w:rPr>
          <w:rFonts w:eastAsia="HelveticaNeueLTStd-Lt"/>
        </w:rPr>
      </w:pPr>
      <w:r w:rsidRPr="00C003CF">
        <w:rPr>
          <w:rFonts w:eastAsia="HelveticaNeueLTStd-Lt"/>
        </w:rPr>
        <w:t>MBS item number</w:t>
      </w:r>
      <w:r w:rsidR="00C24C10">
        <w:rPr>
          <w:rFonts w:eastAsia="HelveticaNeueLTStd-Lt"/>
        </w:rPr>
        <w:t>s</w:t>
      </w:r>
      <w:r w:rsidRPr="00C003CF">
        <w:rPr>
          <w:rFonts w:eastAsia="HelveticaNeueLTStd-Lt"/>
        </w:rPr>
        <w:t xml:space="preserve"> for assessment of visual acuity and retinal photography with a</w:t>
      </w:r>
      <w:r>
        <w:rPr>
          <w:rFonts w:eastAsia="HelveticaNeueLTStd-Lt"/>
        </w:rPr>
        <w:t xml:space="preserve"> </w:t>
      </w:r>
      <w:r w:rsidRPr="00C003CF">
        <w:rPr>
          <w:rFonts w:eastAsia="HelveticaNeueLTStd-Lt"/>
        </w:rPr>
        <w:t>non-mydriatic retinal camera for</w:t>
      </w:r>
      <w:r w:rsidR="00C24C10">
        <w:rPr>
          <w:rFonts w:eastAsia="HelveticaNeueLTStd-Lt"/>
        </w:rPr>
        <w:t xml:space="preserve"> </w:t>
      </w:r>
      <w:r w:rsidRPr="00C003CF">
        <w:rPr>
          <w:rFonts w:eastAsia="HelveticaNeueLTStd-Lt"/>
        </w:rPr>
        <w:t>Aboriginal and Torres Strait Islander people</w:t>
      </w:r>
      <w:r w:rsidR="007E6A87">
        <w:rPr>
          <w:rFonts w:eastAsia="HelveticaNeueLTStd-Lt"/>
        </w:rPr>
        <w:t xml:space="preserve"> with diabetes (</w:t>
      </w:r>
      <w:r w:rsidR="007E6A87" w:rsidRPr="00C003CF">
        <w:rPr>
          <w:rFonts w:eastAsia="HelveticaNeueLTStd-Lt"/>
        </w:rPr>
        <w:t>MBS item 12325</w:t>
      </w:r>
      <w:r w:rsidR="007E6A87">
        <w:rPr>
          <w:rFonts w:eastAsia="HelveticaNeueLTStd-Lt"/>
        </w:rPr>
        <w:t>)</w:t>
      </w:r>
      <w:r w:rsidR="00C24C10">
        <w:rPr>
          <w:rFonts w:eastAsia="HelveticaNeueLTStd-Lt"/>
        </w:rPr>
        <w:t>;</w:t>
      </w:r>
      <w:r w:rsidR="007E6A87">
        <w:rPr>
          <w:rFonts w:eastAsia="HelveticaNeueLTStd-Lt"/>
        </w:rPr>
        <w:t xml:space="preserve"> and non-Indigenous people</w:t>
      </w:r>
      <w:r w:rsidRPr="00C003CF">
        <w:rPr>
          <w:rFonts w:eastAsia="HelveticaNeueLTStd-Lt"/>
        </w:rPr>
        <w:t xml:space="preserve"> with diabetes</w:t>
      </w:r>
      <w:r w:rsidR="007E6A87">
        <w:rPr>
          <w:rFonts w:eastAsia="HelveticaNeueLTStd-Lt"/>
        </w:rPr>
        <w:t xml:space="preserve"> (MBS Item 12326)</w:t>
      </w:r>
      <w:r w:rsidRPr="00C003CF">
        <w:rPr>
          <w:rFonts w:eastAsia="HelveticaNeueLTStd-Lt"/>
        </w:rPr>
        <w:t xml:space="preserve"> for use in general</w:t>
      </w:r>
      <w:r>
        <w:rPr>
          <w:rFonts w:eastAsia="HelveticaNeueLTStd-Lt"/>
        </w:rPr>
        <w:t xml:space="preserve"> </w:t>
      </w:r>
      <w:r w:rsidRPr="00C003CF">
        <w:rPr>
          <w:rFonts w:eastAsia="HelveticaNeueLTStd-Lt"/>
        </w:rPr>
        <w:t>practice became available in November 2016.</w:t>
      </w:r>
      <w:r w:rsidRPr="000E22C4">
        <w:rPr>
          <w:rFonts w:eastAsia="HelveticaNeueLTStd-Lt"/>
          <w:vertAlign w:val="superscript"/>
        </w:rPr>
        <w:t>25,54</w:t>
      </w:r>
    </w:p>
    <w:p w14:paraId="273CDCE2" w14:textId="77777777" w:rsidR="006619CA" w:rsidRDefault="006619CA" w:rsidP="00E221E6">
      <w:pPr>
        <w:pStyle w:val="BodyText"/>
        <w:rPr>
          <w:rFonts w:eastAsia="HelveticaNeueLTStd-Lt"/>
        </w:rPr>
      </w:pPr>
      <w:r w:rsidRPr="00C003CF">
        <w:rPr>
          <w:rFonts w:eastAsia="HelveticaNeueLTStd-Lt"/>
        </w:rPr>
        <w:t>Good glycaemic,</w:t>
      </w:r>
      <w:r w:rsidRPr="000E22C4">
        <w:rPr>
          <w:rFonts w:eastAsia="HelveticaNeueLTStd-Lt"/>
          <w:vertAlign w:val="superscript"/>
        </w:rPr>
        <w:t>38,47,50,52,60–64</w:t>
      </w:r>
      <w:r w:rsidRPr="00C003CF">
        <w:rPr>
          <w:rFonts w:eastAsia="HelveticaNeueLTStd-Lt"/>
        </w:rPr>
        <w:t xml:space="preserve"> lipid</w:t>
      </w:r>
      <w:r>
        <w:rPr>
          <w:rFonts w:eastAsia="HelveticaNeueLTStd-Lt"/>
        </w:rPr>
        <w:t xml:space="preserve"> </w:t>
      </w:r>
      <w:r w:rsidRPr="000E22C4">
        <w:rPr>
          <w:rFonts w:eastAsia="HelveticaNeueLTStd-Lt"/>
          <w:vertAlign w:val="superscript"/>
        </w:rPr>
        <w:t>52,62,63</w:t>
      </w:r>
      <w:r w:rsidRPr="00C003CF">
        <w:rPr>
          <w:rFonts w:eastAsia="HelveticaNeueLTStd-Lt"/>
        </w:rPr>
        <w:t xml:space="preserve"> and blood pressure</w:t>
      </w:r>
      <w:r>
        <w:rPr>
          <w:rFonts w:eastAsia="HelveticaNeueLTStd-Lt"/>
        </w:rPr>
        <w:t xml:space="preserve"> </w:t>
      </w:r>
      <w:r w:rsidRPr="00795E14">
        <w:rPr>
          <w:rFonts w:eastAsia="HelveticaNeueLTStd-Lt"/>
          <w:vertAlign w:val="superscript"/>
        </w:rPr>
        <w:t>38,47,50,52,61–63</w:t>
      </w:r>
      <w:r w:rsidRPr="00C003CF">
        <w:rPr>
          <w:rFonts w:eastAsia="HelveticaNeueLTStd-Lt"/>
        </w:rPr>
        <w:t xml:space="preserve"> control, together with regular eye</w:t>
      </w:r>
      <w:r>
        <w:rPr>
          <w:rFonts w:eastAsia="HelveticaNeueLTStd-Lt"/>
        </w:rPr>
        <w:t xml:space="preserve"> </w:t>
      </w:r>
      <w:r w:rsidRPr="00C003CF">
        <w:rPr>
          <w:rFonts w:eastAsia="HelveticaNeueLTStd-Lt"/>
        </w:rPr>
        <w:t>examinations and early treatment of any diabetic retinopathy, remain the cornerstone of primary prevention</w:t>
      </w:r>
      <w:r>
        <w:rPr>
          <w:rFonts w:eastAsia="HelveticaNeueLTStd-Lt"/>
        </w:rPr>
        <w:t xml:space="preserve"> </w:t>
      </w:r>
      <w:r w:rsidRPr="00C003CF">
        <w:rPr>
          <w:rFonts w:eastAsia="HelveticaNeueLTStd-Lt"/>
        </w:rPr>
        <w:t>and delay of progression of diabetic retinopathy.</w:t>
      </w:r>
      <w:r w:rsidRPr="00795E14">
        <w:rPr>
          <w:rFonts w:eastAsia="HelveticaNeueLTStd-Lt"/>
          <w:vertAlign w:val="superscript"/>
        </w:rPr>
        <w:t>47,50,63,65</w:t>
      </w:r>
      <w:r w:rsidRPr="00C003CF">
        <w:rPr>
          <w:rFonts w:eastAsia="HelveticaNeueLTStd-Lt"/>
        </w:rPr>
        <w:t xml:space="preserve"> </w:t>
      </w:r>
    </w:p>
    <w:p w14:paraId="64F299D3" w14:textId="77777777" w:rsidR="006619CA" w:rsidRDefault="006619CA" w:rsidP="00E221E6">
      <w:pPr>
        <w:pStyle w:val="BodyText"/>
        <w:rPr>
          <w:rFonts w:eastAsia="HelveticaNeueLTStd-Lt"/>
        </w:rPr>
      </w:pPr>
      <w:r w:rsidRPr="00C003CF">
        <w:rPr>
          <w:rFonts w:eastAsia="HelveticaNeueLTStd-Lt"/>
        </w:rPr>
        <w:t>These measures also increase the length of life, so</w:t>
      </w:r>
      <w:r>
        <w:rPr>
          <w:rFonts w:eastAsia="HelveticaNeueLTStd-Lt"/>
        </w:rPr>
        <w:t xml:space="preserve"> </w:t>
      </w:r>
      <w:r w:rsidRPr="00C003CF">
        <w:rPr>
          <w:rFonts w:eastAsia="HelveticaNeueLTStd-Lt"/>
        </w:rPr>
        <w:t>do not reduce the lifetime risk of developing retinopathy.</w:t>
      </w:r>
      <w:r>
        <w:rPr>
          <w:rFonts w:eastAsia="HelveticaNeueLTStd-Lt"/>
        </w:rPr>
        <w:t xml:space="preserve"> </w:t>
      </w:r>
      <w:r w:rsidRPr="00C003CF">
        <w:rPr>
          <w:rFonts w:eastAsia="HelveticaNeueLTStd-Lt"/>
        </w:rPr>
        <w:t>Once DR is detected, further examinations by an optometrist or ophthalmologist should be conducted</w:t>
      </w:r>
      <w:r>
        <w:rPr>
          <w:rFonts w:eastAsia="HelveticaNeueLTStd-Lt"/>
        </w:rPr>
        <w:t xml:space="preserve"> </w:t>
      </w:r>
      <w:r w:rsidRPr="00C003CF">
        <w:rPr>
          <w:rFonts w:eastAsia="HelveticaNeueLTStd-Lt"/>
        </w:rPr>
        <w:t xml:space="preserve">annually or at three-monthly to 12-monthly intervals, depending on the level of DR. </w:t>
      </w:r>
    </w:p>
    <w:p w14:paraId="4A0417AE" w14:textId="77777777" w:rsidR="006619CA" w:rsidRDefault="006619CA" w:rsidP="00E221E6">
      <w:pPr>
        <w:pStyle w:val="BodyText"/>
        <w:rPr>
          <w:rFonts w:eastAsia="HelveticaNeueLTStd-Lt"/>
        </w:rPr>
      </w:pPr>
      <w:r w:rsidRPr="00C003CF">
        <w:rPr>
          <w:rFonts w:eastAsia="HelveticaNeueLTStd-Lt"/>
        </w:rPr>
        <w:t>Any new visual symptoms</w:t>
      </w:r>
      <w:r>
        <w:rPr>
          <w:rFonts w:eastAsia="HelveticaNeueLTStd-Lt"/>
        </w:rPr>
        <w:t xml:space="preserve"> </w:t>
      </w:r>
      <w:r w:rsidRPr="00C003CF">
        <w:rPr>
          <w:rFonts w:eastAsia="HelveticaNeueLTStd-Lt"/>
        </w:rPr>
        <w:t>should prompt consideration of specialist referral.</w:t>
      </w:r>
      <w:r w:rsidRPr="00795E14">
        <w:rPr>
          <w:rFonts w:eastAsia="HelveticaNeueLTStd-Lt"/>
          <w:vertAlign w:val="superscript"/>
        </w:rPr>
        <w:t>47,50</w:t>
      </w:r>
      <w:r w:rsidRPr="00C003CF">
        <w:rPr>
          <w:rFonts w:eastAsia="HelveticaNeueLTStd-Lt"/>
        </w:rPr>
        <w:t xml:space="preserve"> </w:t>
      </w:r>
    </w:p>
    <w:p w14:paraId="1A0D5ADC" w14:textId="77777777" w:rsidR="006619CA" w:rsidRPr="00C003CF" w:rsidRDefault="006619CA" w:rsidP="00E221E6">
      <w:pPr>
        <w:pStyle w:val="BodyText"/>
        <w:rPr>
          <w:rFonts w:eastAsia="HelveticaNeueLTStd-Lt"/>
        </w:rPr>
      </w:pPr>
      <w:r w:rsidRPr="00C003CF">
        <w:rPr>
          <w:rFonts w:eastAsia="HelveticaNeueLTStd-Lt"/>
        </w:rPr>
        <w:t>Urgent ophthalmology referral (within four weeks) is</w:t>
      </w:r>
      <w:r>
        <w:rPr>
          <w:rFonts w:eastAsia="HelveticaNeueLTStd-Lt"/>
        </w:rPr>
        <w:t xml:space="preserve"> </w:t>
      </w:r>
      <w:r w:rsidRPr="00C003CF">
        <w:rPr>
          <w:rFonts w:eastAsia="HelveticaNeueLTStd-Lt"/>
        </w:rPr>
        <w:t>recommended if any of the following are suspected: diabetic macular oedema (DME), proliferative diabetic</w:t>
      </w:r>
      <w:r>
        <w:rPr>
          <w:rFonts w:eastAsia="HelveticaNeueLTStd-Lt"/>
        </w:rPr>
        <w:t xml:space="preserve"> </w:t>
      </w:r>
      <w:r w:rsidRPr="00C003CF">
        <w:rPr>
          <w:rFonts w:eastAsia="HelveticaNeueLTStd-Lt"/>
        </w:rPr>
        <w:t>retinopathy (PDR) or an unexplained fall in visual acuity.</w:t>
      </w:r>
      <w:r w:rsidRPr="001F1FFC">
        <w:rPr>
          <w:rFonts w:eastAsia="HelveticaNeueLTStd-Lt"/>
          <w:vertAlign w:val="superscript"/>
        </w:rPr>
        <w:t>50</w:t>
      </w:r>
    </w:p>
    <w:p w14:paraId="0D636BF0" w14:textId="77777777" w:rsidR="006619CA" w:rsidRDefault="006619CA" w:rsidP="00E221E6">
      <w:pPr>
        <w:pStyle w:val="BodyText"/>
        <w:rPr>
          <w:rFonts w:eastAsia="HelveticaNeueLTStd-Lt"/>
        </w:rPr>
      </w:pPr>
      <w:r w:rsidRPr="00C003CF">
        <w:rPr>
          <w:rFonts w:eastAsia="HelveticaNeueLTStd-Lt"/>
        </w:rPr>
        <w:t>For women with pre-existing diabetes who become pregnant, a first trimester eye examination, either by dilated fundus</w:t>
      </w:r>
      <w:r>
        <w:rPr>
          <w:rFonts w:eastAsia="HelveticaNeueLTStd-Lt"/>
        </w:rPr>
        <w:t xml:space="preserve"> </w:t>
      </w:r>
      <w:r w:rsidRPr="00C003CF">
        <w:rPr>
          <w:rFonts w:eastAsia="HelveticaNeueLTStd-Lt"/>
        </w:rPr>
        <w:t>examination or retinal digital imaging, is</w:t>
      </w:r>
      <w:r>
        <w:rPr>
          <w:rFonts w:eastAsia="HelveticaNeueLTStd-Lt"/>
        </w:rPr>
        <w:t xml:space="preserve"> </w:t>
      </w:r>
      <w:r w:rsidRPr="00C003CF">
        <w:rPr>
          <w:rFonts w:eastAsia="HelveticaNeueLTStd-Lt"/>
        </w:rPr>
        <w:t>recommended.</w:t>
      </w:r>
      <w:r w:rsidRPr="001F1FFC">
        <w:rPr>
          <w:rFonts w:eastAsia="HelveticaNeueLTStd-Lt"/>
          <w:vertAlign w:val="superscript"/>
        </w:rPr>
        <w:t>50,52,53,66</w:t>
      </w:r>
      <w:r w:rsidRPr="00C003CF">
        <w:rPr>
          <w:rFonts w:eastAsia="HelveticaNeueLTStd-Lt"/>
        </w:rPr>
        <w:t xml:space="preserve"> </w:t>
      </w:r>
    </w:p>
    <w:p w14:paraId="3A308AA3" w14:textId="77777777" w:rsidR="006619CA" w:rsidRDefault="006619CA" w:rsidP="00E221E6">
      <w:pPr>
        <w:pStyle w:val="BodyText"/>
        <w:rPr>
          <w:rFonts w:eastAsia="HelveticaNeueLTStd-Lt"/>
        </w:rPr>
      </w:pPr>
      <w:r w:rsidRPr="00C003CF">
        <w:rPr>
          <w:rFonts w:eastAsia="HelveticaNeueLTStd-Lt"/>
        </w:rPr>
        <w:t>Many guidelines also recommend preconception counselling</w:t>
      </w:r>
      <w:r>
        <w:rPr>
          <w:rFonts w:eastAsia="HelveticaNeueLTStd-Lt"/>
        </w:rPr>
        <w:t xml:space="preserve"> </w:t>
      </w:r>
      <w:r w:rsidRPr="00C003CF">
        <w:rPr>
          <w:rFonts w:eastAsia="HelveticaNeueLTStd-Lt"/>
        </w:rPr>
        <w:t>about the risks of DR and eye examination for women with pre-existing diabetes who are planning pregnancy.</w:t>
      </w:r>
      <w:r w:rsidRPr="001F1FFC">
        <w:rPr>
          <w:rFonts w:eastAsia="HelveticaNeueLTStd-Lt"/>
          <w:vertAlign w:val="superscript"/>
        </w:rPr>
        <w:t>52,53,61,66</w:t>
      </w:r>
      <w:r w:rsidRPr="00C003CF">
        <w:rPr>
          <w:rFonts w:eastAsia="HelveticaNeueLTStd-Lt"/>
        </w:rPr>
        <w:t xml:space="preserve"> </w:t>
      </w:r>
    </w:p>
    <w:p w14:paraId="73436EBF" w14:textId="77777777" w:rsidR="006619CA" w:rsidRDefault="006619CA" w:rsidP="00E221E6">
      <w:pPr>
        <w:pStyle w:val="BodyText"/>
        <w:rPr>
          <w:rFonts w:eastAsia="HelveticaNeueLTStd-Lt"/>
          <w:vertAlign w:val="superscript"/>
        </w:rPr>
      </w:pPr>
      <w:r w:rsidRPr="00C003CF">
        <w:rPr>
          <w:rFonts w:eastAsia="HelveticaNeueLTStd-Lt"/>
        </w:rPr>
        <w:lastRenderedPageBreak/>
        <w:t>Rapid</w:t>
      </w:r>
      <w:r>
        <w:rPr>
          <w:rFonts w:eastAsia="HelveticaNeueLTStd-Lt"/>
        </w:rPr>
        <w:t xml:space="preserve"> </w:t>
      </w:r>
      <w:r w:rsidRPr="00C003CF">
        <w:rPr>
          <w:rFonts w:eastAsia="HelveticaNeueLTStd-Lt"/>
        </w:rPr>
        <w:t>optimisation of previously poor glycaemic control in pregnancy should be deferred until after retinal assessment for women with</w:t>
      </w:r>
      <w:r>
        <w:rPr>
          <w:rFonts w:eastAsia="HelveticaNeueLTStd-Lt"/>
        </w:rPr>
        <w:t xml:space="preserve"> </w:t>
      </w:r>
      <w:r w:rsidRPr="00C003CF">
        <w:rPr>
          <w:rFonts w:eastAsia="HelveticaNeueLTStd-Lt"/>
        </w:rPr>
        <w:t>pre-existing diabetes.</w:t>
      </w:r>
      <w:r w:rsidRPr="001F1FFC">
        <w:rPr>
          <w:rFonts w:eastAsia="HelveticaNeueLTStd-Lt"/>
          <w:vertAlign w:val="superscript"/>
        </w:rPr>
        <w:t>61</w:t>
      </w:r>
      <w:r w:rsidRPr="00C003CF">
        <w:rPr>
          <w:rFonts w:eastAsia="HelveticaNeueLTStd-Lt"/>
        </w:rPr>
        <w:t xml:space="preserve"> For pregnant women with pre-existing diabetes, retinal examinations in the second and third trimester</w:t>
      </w:r>
      <w:r>
        <w:rPr>
          <w:rFonts w:eastAsia="HelveticaNeueLTStd-Lt"/>
        </w:rPr>
        <w:t xml:space="preserve"> </w:t>
      </w:r>
      <w:r w:rsidRPr="00C003CF">
        <w:rPr>
          <w:rFonts w:eastAsia="HelveticaNeueLTStd-Lt"/>
        </w:rPr>
        <w:t>are also recommended by most guidelines, depending on findings in earlier examinations.</w:t>
      </w:r>
      <w:r w:rsidRPr="001F1FFC">
        <w:rPr>
          <w:rFonts w:eastAsia="HelveticaNeueLTStd-Lt"/>
          <w:vertAlign w:val="superscript"/>
        </w:rPr>
        <w:t>50,52,53,66</w:t>
      </w:r>
      <w:r w:rsidRPr="00C003CF">
        <w:rPr>
          <w:rFonts w:eastAsia="HelveticaNeueLTStd-Lt"/>
        </w:rPr>
        <w:t xml:space="preserve"> Evidence indicates a need</w:t>
      </w:r>
      <w:r>
        <w:rPr>
          <w:rFonts w:eastAsia="HelveticaNeueLTStd-Lt"/>
        </w:rPr>
        <w:t xml:space="preserve"> </w:t>
      </w:r>
      <w:r w:rsidRPr="00C003CF">
        <w:rPr>
          <w:rFonts w:eastAsia="HelveticaNeueLTStd-Lt"/>
        </w:rPr>
        <w:t>for ophthalmic follow-up for 6–12 months postpartum for women who had diabetes prior to pregnancy.</w:t>
      </w:r>
      <w:r w:rsidRPr="001F1FFC">
        <w:rPr>
          <w:rFonts w:eastAsia="HelveticaNeueLTStd-Lt"/>
          <w:vertAlign w:val="superscript"/>
        </w:rPr>
        <w:t>52,53,61</w:t>
      </w:r>
      <w:r w:rsidRPr="00C003CF">
        <w:rPr>
          <w:rFonts w:eastAsia="HelveticaNeueLTStd-Lt"/>
        </w:rPr>
        <w:t xml:space="preserve"> Women with</w:t>
      </w:r>
      <w:r>
        <w:rPr>
          <w:rFonts w:eastAsia="HelveticaNeueLTStd-Lt"/>
        </w:rPr>
        <w:t xml:space="preserve"> </w:t>
      </w:r>
      <w:r w:rsidRPr="00C003CF">
        <w:rPr>
          <w:rFonts w:eastAsia="HelveticaNeueLTStd-Lt"/>
        </w:rPr>
        <w:t>gestational diabetes do not require screening because their risk of diabetic retinopathy does not increase during pregnancy.</w:t>
      </w:r>
      <w:r w:rsidRPr="001F1FFC">
        <w:rPr>
          <w:rFonts w:eastAsia="HelveticaNeueLTStd-Lt"/>
          <w:vertAlign w:val="superscript"/>
        </w:rPr>
        <w:t>52</w:t>
      </w:r>
    </w:p>
    <w:p w14:paraId="7CFC85ED" w14:textId="77777777" w:rsidR="000843EB" w:rsidRDefault="000843EB" w:rsidP="006619CA">
      <w:pPr>
        <w:autoSpaceDE w:val="0"/>
        <w:autoSpaceDN w:val="0"/>
        <w:adjustRightInd w:val="0"/>
        <w:rPr>
          <w:rFonts w:asciiTheme="majorHAnsi" w:eastAsia="HelveticaNeueLTStd-Lt" w:hAnsiTheme="majorHAnsi" w:cstheme="majorHAnsi"/>
          <w:color w:val="000000"/>
          <w:szCs w:val="24"/>
        </w:rPr>
      </w:pPr>
    </w:p>
    <w:tbl>
      <w:tblPr>
        <w:tblStyle w:val="TableGrid0"/>
        <w:tblW w:w="9954" w:type="dxa"/>
        <w:tblInd w:w="5" w:type="dxa"/>
        <w:tblCellMar>
          <w:top w:w="64" w:type="dxa"/>
          <w:right w:w="70" w:type="dxa"/>
        </w:tblCellMar>
        <w:tblLook w:val="04A0" w:firstRow="1" w:lastRow="0" w:firstColumn="1" w:lastColumn="0" w:noHBand="0" w:noVBand="1"/>
      </w:tblPr>
      <w:tblGrid>
        <w:gridCol w:w="1199"/>
        <w:gridCol w:w="1063"/>
        <w:gridCol w:w="3402"/>
        <w:gridCol w:w="1720"/>
        <w:gridCol w:w="1276"/>
        <w:gridCol w:w="1294"/>
      </w:tblGrid>
      <w:tr w:rsidR="003524F2" w14:paraId="26B158E6" w14:textId="77777777" w:rsidTr="001F2388">
        <w:trPr>
          <w:trHeight w:val="362"/>
        </w:trPr>
        <w:tc>
          <w:tcPr>
            <w:tcW w:w="5664" w:type="dxa"/>
            <w:gridSpan w:val="3"/>
            <w:tcBorders>
              <w:top w:val="single" w:sz="4" w:space="0" w:color="FFFFFF"/>
              <w:left w:val="nil"/>
              <w:bottom w:val="nil"/>
              <w:right w:val="nil"/>
            </w:tcBorders>
            <w:shd w:val="clear" w:color="auto" w:fill="00669A"/>
          </w:tcPr>
          <w:p w14:paraId="7EAACEB4" w14:textId="77777777" w:rsidR="003524F2" w:rsidRDefault="003524F2" w:rsidP="001F2388">
            <w:pPr>
              <w:spacing w:line="259" w:lineRule="auto"/>
              <w:ind w:left="113"/>
            </w:pPr>
            <w:r>
              <w:rPr>
                <w:rFonts w:ascii="Arial" w:eastAsia="Arial" w:hAnsi="Arial" w:cs="Arial"/>
                <w:b/>
                <w:color w:val="FFFFFF"/>
              </w:rPr>
              <w:t>Recommendations: Visual acuity</w:t>
            </w:r>
          </w:p>
        </w:tc>
        <w:tc>
          <w:tcPr>
            <w:tcW w:w="4289" w:type="dxa"/>
            <w:gridSpan w:val="3"/>
            <w:tcBorders>
              <w:top w:val="single" w:sz="4" w:space="0" w:color="FFFFFF"/>
              <w:left w:val="nil"/>
              <w:bottom w:val="nil"/>
              <w:right w:val="single" w:sz="4" w:space="0" w:color="FFFFFF"/>
            </w:tcBorders>
            <w:shd w:val="clear" w:color="auto" w:fill="00669A"/>
          </w:tcPr>
          <w:p w14:paraId="79C8C819" w14:textId="77777777" w:rsidR="003524F2" w:rsidRDefault="003524F2" w:rsidP="001F2388">
            <w:pPr>
              <w:spacing w:after="160" w:line="259" w:lineRule="auto"/>
            </w:pPr>
          </w:p>
        </w:tc>
      </w:tr>
      <w:tr w:rsidR="003524F2" w14:paraId="5ABE3B41" w14:textId="77777777" w:rsidTr="001F2388">
        <w:trPr>
          <w:trHeight w:val="788"/>
        </w:trPr>
        <w:tc>
          <w:tcPr>
            <w:tcW w:w="1199" w:type="dxa"/>
            <w:tcBorders>
              <w:top w:val="nil"/>
              <w:left w:val="nil"/>
              <w:bottom w:val="single" w:sz="4" w:space="0" w:color="FFFFFF"/>
              <w:right w:val="single" w:sz="4" w:space="0" w:color="FFFFFF"/>
            </w:tcBorders>
            <w:shd w:val="clear" w:color="auto" w:fill="5784B0"/>
          </w:tcPr>
          <w:p w14:paraId="7CAC4618" w14:textId="77777777" w:rsidR="003524F2" w:rsidRDefault="003524F2" w:rsidP="001F2388">
            <w:pPr>
              <w:spacing w:line="259" w:lineRule="auto"/>
              <w:ind w:left="113"/>
            </w:pPr>
            <w:r>
              <w:rPr>
                <w:rFonts w:ascii="Arial" w:eastAsia="Arial" w:hAnsi="Arial" w:cs="Arial"/>
                <w:b/>
                <w:color w:val="FFFFFF"/>
                <w:sz w:val="17"/>
              </w:rPr>
              <w:t>Preventive intervention type</w:t>
            </w:r>
          </w:p>
        </w:tc>
        <w:tc>
          <w:tcPr>
            <w:tcW w:w="1063" w:type="dxa"/>
            <w:tcBorders>
              <w:top w:val="nil"/>
              <w:left w:val="single" w:sz="4" w:space="0" w:color="FFFFFF"/>
              <w:bottom w:val="single" w:sz="4" w:space="0" w:color="FFFFFF"/>
              <w:right w:val="single" w:sz="4" w:space="0" w:color="FFFFFF"/>
            </w:tcBorders>
            <w:shd w:val="clear" w:color="auto" w:fill="5784B0"/>
            <w:vAlign w:val="center"/>
          </w:tcPr>
          <w:p w14:paraId="7809FF0D" w14:textId="77777777" w:rsidR="003524F2" w:rsidRDefault="003524F2" w:rsidP="001F2388">
            <w:pPr>
              <w:spacing w:line="259" w:lineRule="auto"/>
              <w:ind w:left="113"/>
            </w:pPr>
            <w:r>
              <w:rPr>
                <w:rFonts w:ascii="Arial" w:eastAsia="Arial" w:hAnsi="Arial" w:cs="Arial"/>
                <w:b/>
                <w:color w:val="FFFFFF"/>
                <w:sz w:val="17"/>
              </w:rPr>
              <w:t>Who is at risk?</w:t>
            </w:r>
          </w:p>
        </w:tc>
        <w:tc>
          <w:tcPr>
            <w:tcW w:w="3402" w:type="dxa"/>
            <w:tcBorders>
              <w:top w:val="nil"/>
              <w:left w:val="single" w:sz="4" w:space="0" w:color="FFFFFF"/>
              <w:bottom w:val="single" w:sz="4" w:space="0" w:color="FFFFFF"/>
              <w:right w:val="nil"/>
            </w:tcBorders>
            <w:shd w:val="clear" w:color="auto" w:fill="5784B0"/>
            <w:vAlign w:val="center"/>
          </w:tcPr>
          <w:p w14:paraId="328A8B23" w14:textId="77777777" w:rsidR="003524F2" w:rsidRDefault="003524F2" w:rsidP="001F2388">
            <w:pPr>
              <w:spacing w:line="259" w:lineRule="auto"/>
              <w:ind w:left="114"/>
            </w:pPr>
            <w:r>
              <w:rPr>
                <w:rFonts w:ascii="Arial" w:eastAsia="Arial" w:hAnsi="Arial" w:cs="Arial"/>
                <w:b/>
                <w:color w:val="FFFFFF"/>
                <w:sz w:val="17"/>
              </w:rPr>
              <w:t>What should be done?</w:t>
            </w:r>
          </w:p>
        </w:tc>
        <w:tc>
          <w:tcPr>
            <w:tcW w:w="1720" w:type="dxa"/>
            <w:tcBorders>
              <w:top w:val="nil"/>
              <w:left w:val="nil"/>
              <w:bottom w:val="single" w:sz="4" w:space="0" w:color="FFFFFF"/>
              <w:right w:val="single" w:sz="4" w:space="0" w:color="FFFFFF"/>
            </w:tcBorders>
            <w:shd w:val="clear" w:color="auto" w:fill="5784B0"/>
            <w:vAlign w:val="center"/>
          </w:tcPr>
          <w:p w14:paraId="08088979" w14:textId="77777777" w:rsidR="003524F2" w:rsidRDefault="003524F2" w:rsidP="001F2388">
            <w:pPr>
              <w:spacing w:line="259" w:lineRule="auto"/>
            </w:pPr>
            <w:r>
              <w:rPr>
                <w:rFonts w:ascii="Arial" w:eastAsia="Arial" w:hAnsi="Arial" w:cs="Arial"/>
                <w:b/>
                <w:color w:val="FFFFFF"/>
                <w:sz w:val="17"/>
              </w:rPr>
              <w:t>How often?</w:t>
            </w:r>
          </w:p>
        </w:tc>
        <w:tc>
          <w:tcPr>
            <w:tcW w:w="1276" w:type="dxa"/>
            <w:tcBorders>
              <w:top w:val="nil"/>
              <w:left w:val="single" w:sz="4" w:space="0" w:color="FFFFFF"/>
              <w:bottom w:val="single" w:sz="4" w:space="0" w:color="FFFFFF"/>
              <w:right w:val="single" w:sz="4" w:space="0" w:color="FFFFFF"/>
            </w:tcBorders>
            <w:shd w:val="clear" w:color="auto" w:fill="5784B0"/>
          </w:tcPr>
          <w:p w14:paraId="4A8E8C92" w14:textId="77777777" w:rsidR="003524F2" w:rsidRDefault="003524F2" w:rsidP="001F2388">
            <w:pPr>
              <w:spacing w:line="259" w:lineRule="auto"/>
              <w:ind w:left="114"/>
            </w:pPr>
            <w:r>
              <w:rPr>
                <w:rFonts w:ascii="Arial" w:eastAsia="Arial" w:hAnsi="Arial" w:cs="Arial"/>
                <w:b/>
                <w:color w:val="FFFFFF"/>
                <w:sz w:val="17"/>
              </w:rPr>
              <w:t>Level/ strength of evidence</w:t>
            </w:r>
          </w:p>
        </w:tc>
        <w:tc>
          <w:tcPr>
            <w:tcW w:w="1294" w:type="dxa"/>
            <w:tcBorders>
              <w:top w:val="nil"/>
              <w:left w:val="single" w:sz="4" w:space="0" w:color="FFFFFF"/>
              <w:bottom w:val="single" w:sz="4" w:space="0" w:color="FFFFFF"/>
              <w:right w:val="nil"/>
            </w:tcBorders>
            <w:shd w:val="clear" w:color="auto" w:fill="5784B0"/>
            <w:vAlign w:val="center"/>
          </w:tcPr>
          <w:p w14:paraId="59B39DEC" w14:textId="77777777" w:rsidR="003524F2" w:rsidRDefault="003524F2" w:rsidP="001F2388">
            <w:pPr>
              <w:spacing w:line="259" w:lineRule="auto"/>
              <w:ind w:left="114"/>
            </w:pPr>
            <w:r>
              <w:rPr>
                <w:rFonts w:ascii="Arial" w:eastAsia="Arial" w:hAnsi="Arial" w:cs="Arial"/>
                <w:b/>
                <w:color w:val="FFFFFF"/>
                <w:sz w:val="17"/>
              </w:rPr>
              <w:t>References</w:t>
            </w:r>
          </w:p>
        </w:tc>
      </w:tr>
      <w:tr w:rsidR="003524F2" w14:paraId="5AF42151" w14:textId="77777777" w:rsidTr="001F2388">
        <w:trPr>
          <w:trHeight w:val="911"/>
        </w:trPr>
        <w:tc>
          <w:tcPr>
            <w:tcW w:w="1199" w:type="dxa"/>
            <w:vMerge w:val="restart"/>
            <w:tcBorders>
              <w:top w:val="single" w:sz="4" w:space="0" w:color="FFFFFF"/>
              <w:left w:val="nil"/>
              <w:bottom w:val="single" w:sz="4" w:space="0" w:color="FFFFFF"/>
              <w:right w:val="single" w:sz="4" w:space="0" w:color="FFFFFF"/>
            </w:tcBorders>
            <w:shd w:val="clear" w:color="auto" w:fill="B0BFD6"/>
          </w:tcPr>
          <w:p w14:paraId="4EF40241" w14:textId="77777777" w:rsidR="003524F2" w:rsidRDefault="003524F2" w:rsidP="001F2388">
            <w:pPr>
              <w:spacing w:line="259" w:lineRule="auto"/>
              <w:ind w:left="113"/>
            </w:pPr>
            <w:r>
              <w:rPr>
                <w:rFonts w:ascii="Arial" w:eastAsia="Arial" w:hAnsi="Arial" w:cs="Arial"/>
                <w:b/>
                <w:sz w:val="16"/>
              </w:rPr>
              <w:t>Screening</w:t>
            </w:r>
          </w:p>
        </w:tc>
        <w:tc>
          <w:tcPr>
            <w:tcW w:w="1063" w:type="dxa"/>
            <w:tcBorders>
              <w:top w:val="single" w:sz="4" w:space="0" w:color="FFFFFF"/>
              <w:left w:val="single" w:sz="4" w:space="0" w:color="FFFFFF"/>
              <w:bottom w:val="single" w:sz="4" w:space="0" w:color="FFFFFF"/>
              <w:right w:val="single" w:sz="4" w:space="0" w:color="FFFFFF"/>
            </w:tcBorders>
            <w:shd w:val="clear" w:color="auto" w:fill="D4DBE8"/>
          </w:tcPr>
          <w:p w14:paraId="0207690F" w14:textId="77777777" w:rsidR="003524F2" w:rsidRDefault="003524F2" w:rsidP="001F2388">
            <w:pPr>
              <w:spacing w:line="259" w:lineRule="auto"/>
              <w:ind w:left="113"/>
            </w:pPr>
            <w:r>
              <w:rPr>
                <w:sz w:val="16"/>
              </w:rPr>
              <w:t xml:space="preserve">Infants </w:t>
            </w:r>
            <w:r w:rsidR="006175EA" w:rsidRPr="006175EA">
              <w:rPr>
                <w:sz w:val="16"/>
                <w:highlight w:val="yellow"/>
              </w:rPr>
              <w:t>and neonates</w:t>
            </w:r>
          </w:p>
        </w:tc>
        <w:tc>
          <w:tcPr>
            <w:tcW w:w="3402" w:type="dxa"/>
            <w:vMerge w:val="restart"/>
            <w:tcBorders>
              <w:top w:val="single" w:sz="4" w:space="0" w:color="FFFFFF"/>
              <w:left w:val="single" w:sz="4" w:space="0" w:color="FFFFFF"/>
              <w:bottom w:val="single" w:sz="4" w:space="0" w:color="FFFFFF"/>
              <w:right w:val="nil"/>
            </w:tcBorders>
            <w:shd w:val="clear" w:color="auto" w:fill="D4DBE8"/>
          </w:tcPr>
          <w:p w14:paraId="71561812" w14:textId="77777777" w:rsidR="003524F2" w:rsidRDefault="003524F2" w:rsidP="001F2388">
            <w:pPr>
              <w:spacing w:after="341" w:line="248" w:lineRule="auto"/>
              <w:ind w:left="113" w:right="12"/>
            </w:pPr>
            <w:r>
              <w:rPr>
                <w:sz w:val="16"/>
              </w:rPr>
              <w:t>Conduct a general eye examination. Refer to an ophthalmologist if the red reflex is absent or any other abnormality is found</w:t>
            </w:r>
          </w:p>
          <w:p w14:paraId="0EE67084" w14:textId="77777777" w:rsidR="003524F2" w:rsidRDefault="003524F2" w:rsidP="001F2388">
            <w:pPr>
              <w:spacing w:after="48" w:line="259" w:lineRule="auto"/>
              <w:ind w:left="113"/>
            </w:pPr>
            <w:r>
              <w:rPr>
                <w:sz w:val="16"/>
              </w:rPr>
              <w:t>Screen for visual acuity</w:t>
            </w:r>
          </w:p>
          <w:p w14:paraId="397739D1" w14:textId="77777777" w:rsidR="003524F2" w:rsidRDefault="003524F2" w:rsidP="001F2388">
            <w:pPr>
              <w:spacing w:line="259" w:lineRule="auto"/>
              <w:ind w:left="113"/>
            </w:pPr>
            <w:r>
              <w:rPr>
                <w:sz w:val="16"/>
              </w:rPr>
              <w:t>Refer</w:t>
            </w:r>
            <w:r w:rsidR="009C0788">
              <w:rPr>
                <w:sz w:val="16"/>
              </w:rPr>
              <w:t xml:space="preserve"> </w:t>
            </w:r>
            <w:r w:rsidR="009C0788" w:rsidRPr="009C0788">
              <w:rPr>
                <w:sz w:val="16"/>
                <w:highlight w:val="yellow"/>
              </w:rPr>
              <w:t>to optometrist and/or ophthalmologist</w:t>
            </w:r>
            <w:r>
              <w:rPr>
                <w:sz w:val="16"/>
              </w:rPr>
              <w:t xml:space="preserve"> if visual acuity is less than 6/9 in either eye for a three-year-old and 6/9 or less in either eye for a 4–6-year-old</w:t>
            </w:r>
          </w:p>
        </w:tc>
        <w:tc>
          <w:tcPr>
            <w:tcW w:w="1720" w:type="dxa"/>
            <w:vMerge w:val="restart"/>
            <w:tcBorders>
              <w:top w:val="single" w:sz="4" w:space="0" w:color="FFFFFF"/>
              <w:left w:val="nil"/>
              <w:bottom w:val="single" w:sz="4" w:space="0" w:color="FFFFFF"/>
              <w:right w:val="single" w:sz="4" w:space="0" w:color="FFFFFF"/>
            </w:tcBorders>
            <w:shd w:val="clear" w:color="auto" w:fill="D4DBE8"/>
          </w:tcPr>
          <w:p w14:paraId="2DF1D3CE" w14:textId="77777777" w:rsidR="003524F2" w:rsidRDefault="003524F2" w:rsidP="001F2388">
            <w:pPr>
              <w:spacing w:after="151" w:line="248" w:lineRule="auto"/>
              <w:ind w:right="70"/>
            </w:pPr>
            <w:r>
              <w:rPr>
                <w:sz w:val="16"/>
              </w:rPr>
              <w:t>Before three months of age and again between three and six months of age</w:t>
            </w:r>
          </w:p>
          <w:p w14:paraId="31574740" w14:textId="77777777" w:rsidR="003524F2" w:rsidRDefault="003524F2" w:rsidP="001F2388">
            <w:pPr>
              <w:spacing w:line="259" w:lineRule="auto"/>
              <w:ind w:right="8"/>
            </w:pPr>
            <w:r>
              <w:rPr>
                <w:sz w:val="16"/>
              </w:rPr>
              <w:t>As part of a routine health assessment at or before school entry</w:t>
            </w:r>
          </w:p>
        </w:tc>
        <w:tc>
          <w:tcPr>
            <w:tcW w:w="1276" w:type="dxa"/>
            <w:vMerge w:val="restart"/>
            <w:tcBorders>
              <w:top w:val="single" w:sz="4" w:space="0" w:color="FFFFFF"/>
              <w:left w:val="single" w:sz="4" w:space="0" w:color="FFFFFF"/>
              <w:bottom w:val="single" w:sz="4" w:space="0" w:color="FFFFFF"/>
              <w:right w:val="single" w:sz="4" w:space="0" w:color="FFFFFF"/>
            </w:tcBorders>
            <w:shd w:val="clear" w:color="auto" w:fill="D4DBE8"/>
          </w:tcPr>
          <w:p w14:paraId="7C552BAD" w14:textId="77777777" w:rsidR="003524F2" w:rsidRDefault="003524F2" w:rsidP="001F2388">
            <w:pPr>
              <w:spacing w:after="712" w:line="259" w:lineRule="auto"/>
              <w:ind w:left="113"/>
            </w:pPr>
            <w:r>
              <w:rPr>
                <w:sz w:val="16"/>
              </w:rPr>
              <w:t>GPP</w:t>
            </w:r>
          </w:p>
          <w:p w14:paraId="6A798C59" w14:textId="77777777" w:rsidR="003524F2" w:rsidRDefault="003524F2" w:rsidP="001F2388">
            <w:pPr>
              <w:spacing w:line="259" w:lineRule="auto"/>
              <w:ind w:left="113"/>
            </w:pPr>
            <w:r>
              <w:rPr>
                <w:sz w:val="16"/>
              </w:rPr>
              <w:t>GPP</w:t>
            </w:r>
          </w:p>
        </w:tc>
        <w:tc>
          <w:tcPr>
            <w:tcW w:w="1294" w:type="dxa"/>
            <w:vMerge w:val="restart"/>
            <w:tcBorders>
              <w:top w:val="single" w:sz="4" w:space="0" w:color="FFFFFF"/>
              <w:left w:val="single" w:sz="4" w:space="0" w:color="FFFFFF"/>
              <w:bottom w:val="single" w:sz="4" w:space="0" w:color="FFFFFF"/>
              <w:right w:val="nil"/>
            </w:tcBorders>
            <w:shd w:val="clear" w:color="auto" w:fill="D4DBE8"/>
          </w:tcPr>
          <w:p w14:paraId="540A1FF4" w14:textId="77777777" w:rsidR="003524F2" w:rsidRDefault="003524F2" w:rsidP="001F2388">
            <w:pPr>
              <w:spacing w:line="259" w:lineRule="auto"/>
              <w:ind w:left="113" w:right="194"/>
              <w:rPr>
                <w:sz w:val="16"/>
              </w:rPr>
            </w:pPr>
            <w:r>
              <w:rPr>
                <w:sz w:val="16"/>
              </w:rPr>
              <w:t xml:space="preserve">15–17 </w:t>
            </w:r>
          </w:p>
          <w:p w14:paraId="2378A384" w14:textId="77777777" w:rsidR="003524F2" w:rsidRDefault="003524F2" w:rsidP="001F2388">
            <w:pPr>
              <w:spacing w:line="259" w:lineRule="auto"/>
              <w:ind w:left="113" w:right="194"/>
              <w:rPr>
                <w:sz w:val="16"/>
              </w:rPr>
            </w:pPr>
          </w:p>
          <w:p w14:paraId="6625CA8E" w14:textId="77777777" w:rsidR="003524F2" w:rsidRDefault="003524F2" w:rsidP="001F2388">
            <w:pPr>
              <w:spacing w:line="259" w:lineRule="auto"/>
              <w:ind w:left="113" w:right="194"/>
              <w:rPr>
                <w:sz w:val="16"/>
              </w:rPr>
            </w:pPr>
          </w:p>
          <w:p w14:paraId="52D88DFD" w14:textId="77777777" w:rsidR="003524F2" w:rsidRDefault="003524F2" w:rsidP="001F2388">
            <w:pPr>
              <w:spacing w:line="259" w:lineRule="auto"/>
              <w:ind w:left="113" w:right="194"/>
              <w:rPr>
                <w:sz w:val="16"/>
              </w:rPr>
            </w:pPr>
          </w:p>
          <w:p w14:paraId="58CC0C09" w14:textId="77777777" w:rsidR="003524F2" w:rsidRDefault="003524F2" w:rsidP="001F2388">
            <w:pPr>
              <w:spacing w:line="259" w:lineRule="auto"/>
              <w:ind w:left="113" w:right="194"/>
              <w:rPr>
                <w:sz w:val="16"/>
              </w:rPr>
            </w:pPr>
          </w:p>
          <w:p w14:paraId="26F6890B" w14:textId="77777777" w:rsidR="003524F2" w:rsidRDefault="003524F2" w:rsidP="001F2388">
            <w:pPr>
              <w:spacing w:line="259" w:lineRule="auto"/>
              <w:ind w:left="113" w:right="194"/>
            </w:pPr>
            <w:r>
              <w:rPr>
                <w:sz w:val="16"/>
              </w:rPr>
              <w:t>15–17, 67</w:t>
            </w:r>
          </w:p>
        </w:tc>
      </w:tr>
      <w:tr w:rsidR="003524F2" w14:paraId="6DD00F8E" w14:textId="77777777" w:rsidTr="001F2388">
        <w:trPr>
          <w:trHeight w:val="968"/>
        </w:trPr>
        <w:tc>
          <w:tcPr>
            <w:tcW w:w="0" w:type="auto"/>
            <w:vMerge/>
            <w:tcBorders>
              <w:top w:val="nil"/>
              <w:left w:val="nil"/>
              <w:bottom w:val="nil"/>
              <w:right w:val="single" w:sz="4" w:space="0" w:color="FFFFFF"/>
            </w:tcBorders>
          </w:tcPr>
          <w:p w14:paraId="62AF14B6" w14:textId="77777777" w:rsidR="003524F2" w:rsidRDefault="003524F2" w:rsidP="001F2388">
            <w:pPr>
              <w:spacing w:after="160" w:line="259" w:lineRule="auto"/>
            </w:pPr>
          </w:p>
        </w:tc>
        <w:tc>
          <w:tcPr>
            <w:tcW w:w="1063" w:type="dxa"/>
            <w:tcBorders>
              <w:top w:val="single" w:sz="4" w:space="0" w:color="FFFFFF"/>
              <w:left w:val="single" w:sz="4" w:space="0" w:color="FFFFFF"/>
              <w:bottom w:val="single" w:sz="4" w:space="0" w:color="FFFFFF"/>
              <w:right w:val="single" w:sz="4" w:space="0" w:color="FFFFFF"/>
            </w:tcBorders>
            <w:shd w:val="clear" w:color="auto" w:fill="D4DBE8"/>
          </w:tcPr>
          <w:p w14:paraId="71BA86B8" w14:textId="77777777" w:rsidR="003524F2" w:rsidRDefault="003524F2" w:rsidP="001F2388">
            <w:pPr>
              <w:spacing w:line="259" w:lineRule="auto"/>
              <w:ind w:left="113"/>
            </w:pPr>
            <w:r>
              <w:rPr>
                <w:sz w:val="16"/>
              </w:rPr>
              <w:t xml:space="preserve">Children aged 3–5 years </w:t>
            </w:r>
          </w:p>
        </w:tc>
        <w:tc>
          <w:tcPr>
            <w:tcW w:w="0" w:type="auto"/>
            <w:vMerge/>
            <w:tcBorders>
              <w:top w:val="nil"/>
              <w:left w:val="single" w:sz="4" w:space="0" w:color="FFFFFF"/>
              <w:bottom w:val="single" w:sz="4" w:space="0" w:color="FFFFFF"/>
              <w:right w:val="nil"/>
            </w:tcBorders>
          </w:tcPr>
          <w:p w14:paraId="1BCF43AC" w14:textId="77777777" w:rsidR="003524F2" w:rsidRDefault="003524F2" w:rsidP="001F2388">
            <w:pPr>
              <w:spacing w:after="160" w:line="259" w:lineRule="auto"/>
            </w:pPr>
          </w:p>
        </w:tc>
        <w:tc>
          <w:tcPr>
            <w:tcW w:w="0" w:type="auto"/>
            <w:vMerge/>
            <w:tcBorders>
              <w:top w:val="nil"/>
              <w:left w:val="nil"/>
              <w:bottom w:val="single" w:sz="4" w:space="0" w:color="FFFFFF"/>
              <w:right w:val="single" w:sz="4" w:space="0" w:color="FFFFFF"/>
            </w:tcBorders>
          </w:tcPr>
          <w:p w14:paraId="7963D6A7" w14:textId="77777777" w:rsidR="003524F2" w:rsidRDefault="003524F2" w:rsidP="001F2388">
            <w:pPr>
              <w:spacing w:after="160" w:line="259" w:lineRule="auto"/>
            </w:pPr>
          </w:p>
        </w:tc>
        <w:tc>
          <w:tcPr>
            <w:tcW w:w="0" w:type="auto"/>
            <w:vMerge/>
            <w:tcBorders>
              <w:top w:val="nil"/>
              <w:left w:val="single" w:sz="4" w:space="0" w:color="FFFFFF"/>
              <w:bottom w:val="single" w:sz="4" w:space="0" w:color="FFFFFF"/>
              <w:right w:val="single" w:sz="4" w:space="0" w:color="FFFFFF"/>
            </w:tcBorders>
          </w:tcPr>
          <w:p w14:paraId="062EB537" w14:textId="77777777" w:rsidR="003524F2" w:rsidRDefault="003524F2" w:rsidP="001F2388">
            <w:pPr>
              <w:spacing w:after="160" w:line="259" w:lineRule="auto"/>
            </w:pPr>
          </w:p>
        </w:tc>
        <w:tc>
          <w:tcPr>
            <w:tcW w:w="0" w:type="auto"/>
            <w:vMerge/>
            <w:tcBorders>
              <w:top w:val="nil"/>
              <w:left w:val="single" w:sz="4" w:space="0" w:color="FFFFFF"/>
              <w:bottom w:val="single" w:sz="4" w:space="0" w:color="FFFFFF"/>
              <w:right w:val="nil"/>
            </w:tcBorders>
          </w:tcPr>
          <w:p w14:paraId="48EAABDD" w14:textId="77777777" w:rsidR="003524F2" w:rsidRDefault="003524F2" w:rsidP="001F2388">
            <w:pPr>
              <w:spacing w:after="160" w:line="259" w:lineRule="auto"/>
            </w:pPr>
          </w:p>
        </w:tc>
      </w:tr>
      <w:tr w:rsidR="003524F2" w14:paraId="290DCF03" w14:textId="77777777" w:rsidTr="009C0D18">
        <w:trPr>
          <w:trHeight w:val="1242"/>
        </w:trPr>
        <w:tc>
          <w:tcPr>
            <w:tcW w:w="0" w:type="auto"/>
            <w:vMerge/>
            <w:tcBorders>
              <w:top w:val="nil"/>
              <w:left w:val="nil"/>
              <w:bottom w:val="nil"/>
              <w:right w:val="single" w:sz="4" w:space="0" w:color="FFFFFF"/>
            </w:tcBorders>
          </w:tcPr>
          <w:p w14:paraId="61F1A55B" w14:textId="77777777" w:rsidR="003524F2" w:rsidRDefault="003524F2" w:rsidP="001F2388">
            <w:pPr>
              <w:spacing w:after="160" w:line="259" w:lineRule="auto"/>
            </w:pPr>
          </w:p>
        </w:tc>
        <w:tc>
          <w:tcPr>
            <w:tcW w:w="1063" w:type="dxa"/>
            <w:tcBorders>
              <w:top w:val="single" w:sz="4" w:space="0" w:color="FFFFFF"/>
              <w:left w:val="single" w:sz="4" w:space="0" w:color="FFFFFF"/>
              <w:bottom w:val="single" w:sz="4" w:space="0" w:color="FFFFFF"/>
              <w:right w:val="single" w:sz="4" w:space="0" w:color="FFFFFF"/>
            </w:tcBorders>
            <w:shd w:val="clear" w:color="auto" w:fill="D4DBE8"/>
          </w:tcPr>
          <w:p w14:paraId="0E618E1F" w14:textId="77777777" w:rsidR="003524F2" w:rsidRDefault="003524F2" w:rsidP="001F2388">
            <w:pPr>
              <w:spacing w:line="259" w:lineRule="auto"/>
              <w:ind w:left="113"/>
            </w:pPr>
            <w:r>
              <w:rPr>
                <w:sz w:val="16"/>
              </w:rPr>
              <w:t xml:space="preserve">All age groups </w:t>
            </w:r>
          </w:p>
        </w:tc>
        <w:tc>
          <w:tcPr>
            <w:tcW w:w="3402" w:type="dxa"/>
            <w:tcBorders>
              <w:top w:val="single" w:sz="4" w:space="0" w:color="FFFFFF"/>
              <w:left w:val="single" w:sz="4" w:space="0" w:color="FFFFFF"/>
              <w:bottom w:val="single" w:sz="4" w:space="0" w:color="FFFFFF"/>
              <w:right w:val="nil"/>
            </w:tcBorders>
            <w:shd w:val="clear" w:color="auto" w:fill="D4DBE8"/>
          </w:tcPr>
          <w:p w14:paraId="4F95EA9E" w14:textId="77777777" w:rsidR="003524F2" w:rsidRDefault="003524F2" w:rsidP="001F2388">
            <w:pPr>
              <w:spacing w:after="57" w:line="248" w:lineRule="auto"/>
              <w:ind w:left="113"/>
            </w:pPr>
            <w:r>
              <w:rPr>
                <w:sz w:val="16"/>
              </w:rPr>
              <w:t>Ask about vision</w:t>
            </w:r>
            <w:r w:rsidR="008523DE">
              <w:rPr>
                <w:sz w:val="16"/>
              </w:rPr>
              <w:t xml:space="preserve"> </w:t>
            </w:r>
            <w:r w:rsidR="008523DE" w:rsidRPr="008523DE">
              <w:rPr>
                <w:sz w:val="16"/>
                <w:highlight w:val="yellow"/>
              </w:rPr>
              <w:t>and whether they are</w:t>
            </w:r>
            <w:r w:rsidR="008523DE">
              <w:rPr>
                <w:sz w:val="16"/>
                <w:highlight w:val="yellow"/>
              </w:rPr>
              <w:t xml:space="preserve"> having difficulties doing any activities</w:t>
            </w:r>
            <w:r w:rsidR="00BD1551">
              <w:rPr>
                <w:sz w:val="16"/>
                <w:highlight w:val="yellow"/>
              </w:rPr>
              <w:t xml:space="preserve"> safely</w:t>
            </w:r>
            <w:r w:rsidR="008523DE">
              <w:rPr>
                <w:sz w:val="16"/>
                <w:highlight w:val="yellow"/>
              </w:rPr>
              <w:t xml:space="preserve"> because of their vision</w:t>
            </w:r>
            <w:r w:rsidR="008523DE">
              <w:rPr>
                <w:rStyle w:val="FootnoteReference"/>
                <w:sz w:val="16"/>
                <w:highlight w:val="yellow"/>
              </w:rPr>
              <w:footnoteReference w:id="24"/>
            </w:r>
            <w:r>
              <w:rPr>
                <w:sz w:val="16"/>
              </w:rPr>
              <w:t>. Complete an eye examination and test visual acuity if any problems are identified.</w:t>
            </w:r>
          </w:p>
          <w:p w14:paraId="45568172" w14:textId="77777777" w:rsidR="003524F2" w:rsidRDefault="003524F2" w:rsidP="001F2388">
            <w:pPr>
              <w:spacing w:after="57" w:line="248" w:lineRule="auto"/>
              <w:ind w:left="113" w:right="121"/>
            </w:pPr>
            <w:r>
              <w:rPr>
                <w:sz w:val="16"/>
              </w:rPr>
              <w:t>Include testing for near visual acuity from age 40 onwards.</w:t>
            </w:r>
          </w:p>
          <w:p w14:paraId="22B0C849" w14:textId="77777777" w:rsidR="003524F2" w:rsidRDefault="003524F2" w:rsidP="001F2388">
            <w:pPr>
              <w:spacing w:line="259" w:lineRule="auto"/>
              <w:ind w:left="113"/>
            </w:pPr>
            <w:r>
              <w:rPr>
                <w:sz w:val="16"/>
              </w:rPr>
              <w:t>Refer to an optometrist and/or ophthalmologist if problems are identified</w:t>
            </w:r>
            <w:r w:rsidR="008523DE">
              <w:rPr>
                <w:sz w:val="16"/>
              </w:rPr>
              <w:t xml:space="preserve">. </w:t>
            </w:r>
            <w:r w:rsidR="008523DE" w:rsidRPr="00494111">
              <w:rPr>
                <w:sz w:val="16"/>
                <w:highlight w:val="yellow"/>
              </w:rPr>
              <w:t>Concerns about activities of daily living, or orientation and mobility may require further referral to low vision or</w:t>
            </w:r>
            <w:r w:rsidR="00494111">
              <w:rPr>
                <w:sz w:val="16"/>
                <w:highlight w:val="yellow"/>
              </w:rPr>
              <w:t xml:space="preserve"> patient and vision</w:t>
            </w:r>
            <w:r w:rsidR="008523DE" w:rsidRPr="00494111">
              <w:rPr>
                <w:sz w:val="16"/>
                <w:highlight w:val="yellow"/>
              </w:rPr>
              <w:t xml:space="preserve"> rehabilitation</w:t>
            </w:r>
            <w:r w:rsidR="00494111" w:rsidRPr="00494111">
              <w:rPr>
                <w:sz w:val="16"/>
                <w:highlight w:val="yellow"/>
              </w:rPr>
              <w:t xml:space="preserve"> services</w:t>
            </w:r>
            <w:r w:rsidR="00494111">
              <w:rPr>
                <w:rStyle w:val="FootnoteReference"/>
                <w:sz w:val="16"/>
                <w:highlight w:val="yellow"/>
              </w:rPr>
              <w:footnoteReference w:id="25"/>
            </w:r>
            <w:r w:rsidR="008523DE">
              <w:rPr>
                <w:sz w:val="16"/>
              </w:rPr>
              <w:t xml:space="preserve"> </w:t>
            </w:r>
          </w:p>
        </w:tc>
        <w:tc>
          <w:tcPr>
            <w:tcW w:w="1720" w:type="dxa"/>
            <w:tcBorders>
              <w:top w:val="single" w:sz="4" w:space="0" w:color="FFFFFF"/>
              <w:left w:val="nil"/>
              <w:bottom w:val="single" w:sz="4" w:space="0" w:color="FFFFFF"/>
              <w:right w:val="single" w:sz="4" w:space="0" w:color="FFFFFF"/>
            </w:tcBorders>
            <w:shd w:val="clear" w:color="auto" w:fill="D4DBE8"/>
          </w:tcPr>
          <w:p w14:paraId="73005223" w14:textId="77777777" w:rsidR="003524F2" w:rsidRDefault="003524F2" w:rsidP="001F2388">
            <w:pPr>
              <w:spacing w:line="259" w:lineRule="auto"/>
            </w:pPr>
            <w:r>
              <w:rPr>
                <w:sz w:val="16"/>
              </w:rPr>
              <w:t xml:space="preserve">Every 1–2 years as </w:t>
            </w:r>
          </w:p>
          <w:p w14:paraId="6E5BFCB4" w14:textId="77777777" w:rsidR="003524F2" w:rsidRDefault="003524F2" w:rsidP="001F2388">
            <w:pPr>
              <w:spacing w:line="259" w:lineRule="auto"/>
            </w:pPr>
            <w:r>
              <w:rPr>
                <w:sz w:val="16"/>
              </w:rPr>
              <w:t>part of a routine health assessment</w:t>
            </w:r>
          </w:p>
        </w:tc>
        <w:tc>
          <w:tcPr>
            <w:tcW w:w="1276" w:type="dxa"/>
            <w:tcBorders>
              <w:top w:val="single" w:sz="4" w:space="0" w:color="FFFFFF"/>
              <w:left w:val="single" w:sz="4" w:space="0" w:color="FFFFFF"/>
              <w:bottom w:val="single" w:sz="4" w:space="0" w:color="FFFFFF"/>
              <w:right w:val="single" w:sz="4" w:space="0" w:color="FFFFFF"/>
            </w:tcBorders>
            <w:shd w:val="clear" w:color="auto" w:fill="D4DBE8"/>
          </w:tcPr>
          <w:p w14:paraId="59FA661F" w14:textId="77777777" w:rsidR="003524F2" w:rsidRDefault="003524F2" w:rsidP="001F2388">
            <w:pPr>
              <w:spacing w:line="259" w:lineRule="auto"/>
              <w:ind w:left="113"/>
            </w:pPr>
            <w:r>
              <w:rPr>
                <w:sz w:val="16"/>
              </w:rPr>
              <w:t>GPP</w:t>
            </w:r>
          </w:p>
        </w:tc>
        <w:tc>
          <w:tcPr>
            <w:tcW w:w="1294" w:type="dxa"/>
            <w:tcBorders>
              <w:top w:val="single" w:sz="4" w:space="0" w:color="FFFFFF"/>
              <w:left w:val="single" w:sz="4" w:space="0" w:color="FFFFFF"/>
              <w:bottom w:val="single" w:sz="4" w:space="0" w:color="FFFFFF"/>
              <w:right w:val="nil"/>
            </w:tcBorders>
            <w:shd w:val="clear" w:color="auto" w:fill="D4DBE8"/>
          </w:tcPr>
          <w:p w14:paraId="762CA048" w14:textId="77777777" w:rsidR="003524F2" w:rsidRDefault="003524F2" w:rsidP="001F2388">
            <w:pPr>
              <w:spacing w:line="259" w:lineRule="auto"/>
              <w:ind w:left="113"/>
            </w:pPr>
            <w:r>
              <w:rPr>
                <w:sz w:val="16"/>
              </w:rPr>
              <w:t>7, 19, 20</w:t>
            </w:r>
          </w:p>
        </w:tc>
      </w:tr>
      <w:tr w:rsidR="003524F2" w14:paraId="1AB627BB" w14:textId="77777777" w:rsidTr="001F2388">
        <w:trPr>
          <w:trHeight w:val="1158"/>
        </w:trPr>
        <w:tc>
          <w:tcPr>
            <w:tcW w:w="0" w:type="auto"/>
            <w:vMerge/>
            <w:tcBorders>
              <w:top w:val="nil"/>
              <w:left w:val="nil"/>
              <w:bottom w:val="nil"/>
              <w:right w:val="single" w:sz="4" w:space="0" w:color="FFFFFF"/>
            </w:tcBorders>
          </w:tcPr>
          <w:p w14:paraId="11CB6C73" w14:textId="77777777" w:rsidR="003524F2" w:rsidRDefault="003524F2" w:rsidP="001F2388">
            <w:pPr>
              <w:spacing w:after="160" w:line="259" w:lineRule="auto"/>
            </w:pPr>
          </w:p>
        </w:tc>
        <w:tc>
          <w:tcPr>
            <w:tcW w:w="1063" w:type="dxa"/>
            <w:tcBorders>
              <w:top w:val="single" w:sz="4" w:space="0" w:color="FFFFFF"/>
              <w:left w:val="single" w:sz="4" w:space="0" w:color="FFFFFF"/>
              <w:bottom w:val="single" w:sz="4" w:space="0" w:color="FFFFFF"/>
              <w:right w:val="single" w:sz="4" w:space="0" w:color="FFFFFF"/>
            </w:tcBorders>
            <w:shd w:val="clear" w:color="auto" w:fill="D4DBE8"/>
          </w:tcPr>
          <w:p w14:paraId="440C40C2" w14:textId="77777777" w:rsidR="003524F2" w:rsidRDefault="003524F2" w:rsidP="001F2388">
            <w:pPr>
              <w:spacing w:line="259" w:lineRule="auto"/>
              <w:ind w:left="113"/>
            </w:pPr>
            <w:r>
              <w:rPr>
                <w:sz w:val="16"/>
              </w:rPr>
              <w:t>People with diabetes</w:t>
            </w:r>
          </w:p>
        </w:tc>
        <w:tc>
          <w:tcPr>
            <w:tcW w:w="3402" w:type="dxa"/>
            <w:tcBorders>
              <w:top w:val="single" w:sz="4" w:space="0" w:color="FFFFFF"/>
              <w:left w:val="single" w:sz="4" w:space="0" w:color="FFFFFF"/>
              <w:bottom w:val="single" w:sz="4" w:space="0" w:color="FFFFFF"/>
              <w:right w:val="nil"/>
            </w:tcBorders>
            <w:shd w:val="clear" w:color="auto" w:fill="D4DBE8"/>
          </w:tcPr>
          <w:p w14:paraId="251D292C" w14:textId="77777777" w:rsidR="003524F2" w:rsidRDefault="003524F2" w:rsidP="00622E82">
            <w:pPr>
              <w:spacing w:after="57" w:line="248" w:lineRule="auto"/>
              <w:ind w:left="113" w:right="9"/>
            </w:pPr>
            <w:r>
              <w:rPr>
                <w:sz w:val="16"/>
              </w:rPr>
              <w:t>Undertake visual acuity and retinal assessment by a trained assessor</w:t>
            </w:r>
          </w:p>
          <w:p w14:paraId="6AC13687" w14:textId="77777777" w:rsidR="00622E82" w:rsidRDefault="003524F2" w:rsidP="00622E82">
            <w:pPr>
              <w:spacing w:line="259" w:lineRule="auto"/>
              <w:ind w:left="113" w:right="18"/>
              <w:rPr>
                <w:sz w:val="16"/>
              </w:rPr>
            </w:pPr>
            <w:r>
              <w:rPr>
                <w:sz w:val="16"/>
              </w:rPr>
              <w:t>This includes the use of retinal photography by trained primary healthcare staff combined with external review by an</w:t>
            </w:r>
            <w:r w:rsidR="009C0788">
              <w:rPr>
                <w:sz w:val="16"/>
              </w:rPr>
              <w:t xml:space="preserve"> </w:t>
            </w:r>
            <w:r w:rsidR="009C0788" w:rsidRPr="009C0788">
              <w:rPr>
                <w:sz w:val="16"/>
                <w:highlight w:val="yellow"/>
              </w:rPr>
              <w:t>optometrist or</w:t>
            </w:r>
            <w:r>
              <w:rPr>
                <w:sz w:val="16"/>
              </w:rPr>
              <w:t xml:space="preserve"> ophthalmologist</w:t>
            </w:r>
            <w:r w:rsidR="009C0D18">
              <w:rPr>
                <w:sz w:val="16"/>
              </w:rPr>
              <w:t>.</w:t>
            </w:r>
          </w:p>
          <w:p w14:paraId="1155C611" w14:textId="77777777" w:rsidR="00682F67" w:rsidRPr="006175EA" w:rsidRDefault="00622E82" w:rsidP="00622E82">
            <w:pPr>
              <w:spacing w:line="259" w:lineRule="auto"/>
              <w:ind w:left="113" w:right="18"/>
              <w:rPr>
                <w:sz w:val="16"/>
              </w:rPr>
            </w:pPr>
            <w:r w:rsidRPr="006175EA">
              <w:rPr>
                <w:rFonts w:cstheme="minorHAnsi"/>
                <w:sz w:val="16"/>
                <w:szCs w:val="16"/>
                <w:highlight w:val="yellow"/>
              </w:rPr>
              <w:t>Adherence to RANZCO patient screening and referral pathway guidelines for diabetic retinopathy is recommended.</w:t>
            </w:r>
            <w:r w:rsidRPr="006175EA">
              <w:rPr>
                <w:rStyle w:val="FootnoteReference"/>
                <w:rFonts w:cstheme="minorHAnsi"/>
                <w:sz w:val="16"/>
                <w:szCs w:val="16"/>
                <w:highlight w:val="yellow"/>
              </w:rPr>
              <w:footnoteReference w:id="26"/>
            </w:r>
          </w:p>
        </w:tc>
        <w:tc>
          <w:tcPr>
            <w:tcW w:w="1720" w:type="dxa"/>
            <w:tcBorders>
              <w:top w:val="single" w:sz="4" w:space="0" w:color="FFFFFF"/>
              <w:left w:val="nil"/>
              <w:bottom w:val="single" w:sz="4" w:space="0" w:color="FFFFFF"/>
              <w:right w:val="single" w:sz="4" w:space="0" w:color="FFFFFF"/>
            </w:tcBorders>
            <w:shd w:val="clear" w:color="auto" w:fill="D4DBE8"/>
          </w:tcPr>
          <w:p w14:paraId="229C38AB" w14:textId="77777777" w:rsidR="003524F2" w:rsidRDefault="003524F2" w:rsidP="001F2388">
            <w:pPr>
              <w:spacing w:line="259" w:lineRule="auto"/>
            </w:pPr>
            <w:r>
              <w:rPr>
                <w:sz w:val="16"/>
              </w:rPr>
              <w:t>Yearly</w:t>
            </w:r>
          </w:p>
        </w:tc>
        <w:tc>
          <w:tcPr>
            <w:tcW w:w="1276" w:type="dxa"/>
            <w:tcBorders>
              <w:top w:val="single" w:sz="4" w:space="0" w:color="FFFFFF"/>
              <w:left w:val="single" w:sz="4" w:space="0" w:color="FFFFFF"/>
              <w:bottom w:val="single" w:sz="4" w:space="0" w:color="FFFFFF"/>
              <w:right w:val="single" w:sz="4" w:space="0" w:color="FFFFFF"/>
            </w:tcBorders>
            <w:shd w:val="clear" w:color="auto" w:fill="D4DBE8"/>
          </w:tcPr>
          <w:p w14:paraId="5E36BE54" w14:textId="77777777" w:rsidR="003524F2" w:rsidRDefault="003524F2" w:rsidP="001F2388">
            <w:pPr>
              <w:spacing w:after="295" w:line="259" w:lineRule="auto"/>
              <w:ind w:left="113"/>
            </w:pPr>
            <w:r>
              <w:rPr>
                <w:sz w:val="16"/>
              </w:rPr>
              <w:t>IA</w:t>
            </w:r>
          </w:p>
          <w:p w14:paraId="75307DEB" w14:textId="77777777" w:rsidR="003524F2" w:rsidRDefault="003524F2" w:rsidP="001F2388">
            <w:pPr>
              <w:spacing w:line="259" w:lineRule="auto"/>
              <w:ind w:left="113"/>
            </w:pPr>
            <w:r>
              <w:rPr>
                <w:sz w:val="16"/>
              </w:rPr>
              <w:t>IA</w:t>
            </w:r>
          </w:p>
        </w:tc>
        <w:tc>
          <w:tcPr>
            <w:tcW w:w="1294" w:type="dxa"/>
            <w:tcBorders>
              <w:top w:val="single" w:sz="4" w:space="0" w:color="FFFFFF"/>
              <w:left w:val="single" w:sz="4" w:space="0" w:color="FFFFFF"/>
              <w:bottom w:val="single" w:sz="4" w:space="0" w:color="FFFFFF"/>
              <w:right w:val="nil"/>
            </w:tcBorders>
            <w:shd w:val="clear" w:color="auto" w:fill="D4DBE8"/>
          </w:tcPr>
          <w:p w14:paraId="605BA5AB" w14:textId="77777777" w:rsidR="003524F2" w:rsidRDefault="003524F2" w:rsidP="001F2388">
            <w:pPr>
              <w:spacing w:after="295" w:line="259" w:lineRule="auto"/>
              <w:ind w:left="113"/>
            </w:pPr>
            <w:r>
              <w:rPr>
                <w:sz w:val="16"/>
              </w:rPr>
              <w:t>50</w:t>
            </w:r>
          </w:p>
          <w:p w14:paraId="36EF705B" w14:textId="77777777" w:rsidR="003524F2" w:rsidRDefault="003524F2" w:rsidP="001F2388">
            <w:pPr>
              <w:spacing w:line="259" w:lineRule="auto"/>
              <w:ind w:left="113"/>
            </w:pPr>
            <w:r>
              <w:rPr>
                <w:sz w:val="16"/>
              </w:rPr>
              <w:t>57–59</w:t>
            </w:r>
          </w:p>
        </w:tc>
      </w:tr>
      <w:tr w:rsidR="003524F2" w14:paraId="50833A94" w14:textId="77777777" w:rsidTr="001F2388">
        <w:trPr>
          <w:trHeight w:val="721"/>
        </w:trPr>
        <w:tc>
          <w:tcPr>
            <w:tcW w:w="0" w:type="auto"/>
            <w:vMerge/>
            <w:tcBorders>
              <w:top w:val="nil"/>
              <w:left w:val="nil"/>
              <w:bottom w:val="nil"/>
              <w:right w:val="single" w:sz="4" w:space="0" w:color="FFFFFF"/>
            </w:tcBorders>
          </w:tcPr>
          <w:p w14:paraId="591EEE26" w14:textId="77777777" w:rsidR="003524F2" w:rsidRDefault="003524F2" w:rsidP="001F2388">
            <w:pPr>
              <w:spacing w:after="160" w:line="259" w:lineRule="auto"/>
            </w:pPr>
          </w:p>
        </w:tc>
        <w:tc>
          <w:tcPr>
            <w:tcW w:w="1063" w:type="dxa"/>
            <w:vMerge w:val="restart"/>
            <w:tcBorders>
              <w:top w:val="single" w:sz="4" w:space="0" w:color="FFFFFF"/>
              <w:left w:val="single" w:sz="4" w:space="0" w:color="FFFFFF"/>
              <w:bottom w:val="single" w:sz="4" w:space="0" w:color="FFFFFF"/>
              <w:right w:val="single" w:sz="4" w:space="0" w:color="FFFFFF"/>
            </w:tcBorders>
            <w:shd w:val="clear" w:color="auto" w:fill="D4DBE8"/>
          </w:tcPr>
          <w:p w14:paraId="12A31102" w14:textId="77777777" w:rsidR="003524F2" w:rsidRDefault="003524F2" w:rsidP="001F2388">
            <w:pPr>
              <w:spacing w:line="259" w:lineRule="auto"/>
              <w:ind w:left="113"/>
            </w:pPr>
            <w:r>
              <w:rPr>
                <w:sz w:val="16"/>
              </w:rPr>
              <w:t>Pregnant women with pre-existing diabetes</w:t>
            </w:r>
          </w:p>
        </w:tc>
        <w:tc>
          <w:tcPr>
            <w:tcW w:w="3402" w:type="dxa"/>
            <w:tcBorders>
              <w:top w:val="single" w:sz="4" w:space="0" w:color="FFFFFF"/>
              <w:left w:val="single" w:sz="4" w:space="0" w:color="FFFFFF"/>
              <w:bottom w:val="single" w:sz="4" w:space="0" w:color="FFFFFF"/>
              <w:right w:val="nil"/>
            </w:tcBorders>
            <w:shd w:val="clear" w:color="auto" w:fill="D4DBE8"/>
          </w:tcPr>
          <w:p w14:paraId="14D02E1B" w14:textId="77777777" w:rsidR="003524F2" w:rsidRDefault="003524F2" w:rsidP="001F2388">
            <w:pPr>
              <w:spacing w:line="259" w:lineRule="auto"/>
              <w:ind w:left="113" w:right="313"/>
            </w:pPr>
            <w:r>
              <w:rPr>
                <w:sz w:val="16"/>
              </w:rPr>
              <w:t>Conduct an eye examination and counsel clients about the risks of diabetic retinopathy (DR)</w:t>
            </w:r>
          </w:p>
        </w:tc>
        <w:tc>
          <w:tcPr>
            <w:tcW w:w="1720" w:type="dxa"/>
            <w:tcBorders>
              <w:top w:val="single" w:sz="4" w:space="0" w:color="FFFFFF"/>
              <w:left w:val="nil"/>
              <w:bottom w:val="single" w:sz="4" w:space="0" w:color="FFFFFF"/>
              <w:right w:val="single" w:sz="4" w:space="0" w:color="FFFFFF"/>
            </w:tcBorders>
            <w:shd w:val="clear" w:color="auto" w:fill="D4DBE8"/>
          </w:tcPr>
          <w:p w14:paraId="11857404" w14:textId="77777777" w:rsidR="003524F2" w:rsidRDefault="003524F2" w:rsidP="001F2388">
            <w:pPr>
              <w:spacing w:line="259" w:lineRule="auto"/>
            </w:pPr>
            <w:r>
              <w:rPr>
                <w:sz w:val="16"/>
              </w:rPr>
              <w:t>Prior to conception</w:t>
            </w:r>
          </w:p>
        </w:tc>
        <w:tc>
          <w:tcPr>
            <w:tcW w:w="1276" w:type="dxa"/>
            <w:tcBorders>
              <w:top w:val="single" w:sz="4" w:space="0" w:color="FFFFFF"/>
              <w:left w:val="single" w:sz="4" w:space="0" w:color="FFFFFF"/>
              <w:bottom w:val="single" w:sz="4" w:space="0" w:color="FFFFFF"/>
              <w:right w:val="single" w:sz="4" w:space="0" w:color="FFFFFF"/>
            </w:tcBorders>
            <w:shd w:val="clear" w:color="auto" w:fill="D4DBE8"/>
          </w:tcPr>
          <w:p w14:paraId="47C06564" w14:textId="77777777" w:rsidR="003524F2" w:rsidRDefault="003524F2" w:rsidP="001F2388">
            <w:pPr>
              <w:spacing w:line="259" w:lineRule="auto"/>
              <w:ind w:left="113"/>
            </w:pPr>
            <w:r>
              <w:rPr>
                <w:sz w:val="16"/>
              </w:rPr>
              <w:t>III–2B</w:t>
            </w:r>
          </w:p>
        </w:tc>
        <w:tc>
          <w:tcPr>
            <w:tcW w:w="1294" w:type="dxa"/>
            <w:tcBorders>
              <w:top w:val="single" w:sz="4" w:space="0" w:color="FFFFFF"/>
              <w:left w:val="single" w:sz="4" w:space="0" w:color="FFFFFF"/>
              <w:bottom w:val="single" w:sz="4" w:space="0" w:color="FFFFFF"/>
              <w:right w:val="nil"/>
            </w:tcBorders>
            <w:shd w:val="clear" w:color="auto" w:fill="D4DBE8"/>
          </w:tcPr>
          <w:p w14:paraId="3AFE800D" w14:textId="77777777" w:rsidR="003524F2" w:rsidRDefault="003524F2" w:rsidP="001F2388">
            <w:pPr>
              <w:spacing w:line="259" w:lineRule="auto"/>
              <w:ind w:left="113"/>
            </w:pPr>
            <w:r>
              <w:rPr>
                <w:sz w:val="16"/>
              </w:rPr>
              <w:t>52, 53, 61, 66</w:t>
            </w:r>
          </w:p>
        </w:tc>
      </w:tr>
      <w:tr w:rsidR="003524F2" w14:paraId="72A3C7AC" w14:textId="77777777" w:rsidTr="001F2388">
        <w:trPr>
          <w:trHeight w:val="531"/>
        </w:trPr>
        <w:tc>
          <w:tcPr>
            <w:tcW w:w="0" w:type="auto"/>
            <w:vMerge/>
            <w:tcBorders>
              <w:top w:val="nil"/>
              <w:left w:val="nil"/>
              <w:bottom w:val="nil"/>
              <w:right w:val="single" w:sz="4" w:space="0" w:color="FFFFFF"/>
            </w:tcBorders>
          </w:tcPr>
          <w:p w14:paraId="556B2106" w14:textId="77777777" w:rsidR="003524F2" w:rsidRDefault="003524F2" w:rsidP="001F2388">
            <w:pPr>
              <w:spacing w:after="160" w:line="259" w:lineRule="auto"/>
            </w:pPr>
          </w:p>
        </w:tc>
        <w:tc>
          <w:tcPr>
            <w:tcW w:w="0" w:type="auto"/>
            <w:vMerge/>
            <w:tcBorders>
              <w:top w:val="nil"/>
              <w:left w:val="single" w:sz="4" w:space="0" w:color="FFFFFF"/>
              <w:bottom w:val="nil"/>
              <w:right w:val="single" w:sz="4" w:space="0" w:color="FFFFFF"/>
            </w:tcBorders>
          </w:tcPr>
          <w:p w14:paraId="09DEB42E" w14:textId="77777777" w:rsidR="003524F2" w:rsidRDefault="003524F2" w:rsidP="001F2388">
            <w:pPr>
              <w:spacing w:after="160" w:line="259" w:lineRule="auto"/>
            </w:pPr>
          </w:p>
        </w:tc>
        <w:tc>
          <w:tcPr>
            <w:tcW w:w="3402" w:type="dxa"/>
            <w:tcBorders>
              <w:top w:val="single" w:sz="4" w:space="0" w:color="FFFFFF"/>
              <w:left w:val="single" w:sz="4" w:space="0" w:color="FFFFFF"/>
              <w:bottom w:val="single" w:sz="4" w:space="0" w:color="FFFFFF"/>
              <w:right w:val="nil"/>
            </w:tcBorders>
            <w:shd w:val="clear" w:color="auto" w:fill="D4DBE8"/>
          </w:tcPr>
          <w:p w14:paraId="3FB309C0" w14:textId="77777777" w:rsidR="003524F2" w:rsidRDefault="003524F2" w:rsidP="001F2388">
            <w:pPr>
              <w:spacing w:line="259" w:lineRule="auto"/>
              <w:ind w:left="113" w:right="30"/>
            </w:pPr>
            <w:r>
              <w:rPr>
                <w:sz w:val="16"/>
              </w:rPr>
              <w:t>Conduct an eye examination by dilated fundus examination or retinal digital imaging</w:t>
            </w:r>
          </w:p>
        </w:tc>
        <w:tc>
          <w:tcPr>
            <w:tcW w:w="1720" w:type="dxa"/>
            <w:tcBorders>
              <w:top w:val="single" w:sz="4" w:space="0" w:color="FFFFFF"/>
              <w:left w:val="nil"/>
              <w:bottom w:val="single" w:sz="4" w:space="0" w:color="FFFFFF"/>
              <w:right w:val="single" w:sz="4" w:space="0" w:color="FFFFFF"/>
            </w:tcBorders>
            <w:shd w:val="clear" w:color="auto" w:fill="D4DBE8"/>
          </w:tcPr>
          <w:p w14:paraId="5289D7B3" w14:textId="77777777" w:rsidR="003524F2" w:rsidRDefault="003524F2" w:rsidP="001F2388">
            <w:pPr>
              <w:spacing w:line="259" w:lineRule="auto"/>
            </w:pPr>
            <w:r>
              <w:rPr>
                <w:sz w:val="16"/>
              </w:rPr>
              <w:t>In the first trimester</w:t>
            </w:r>
          </w:p>
        </w:tc>
        <w:tc>
          <w:tcPr>
            <w:tcW w:w="1276" w:type="dxa"/>
            <w:tcBorders>
              <w:top w:val="single" w:sz="4" w:space="0" w:color="FFFFFF"/>
              <w:left w:val="single" w:sz="4" w:space="0" w:color="FFFFFF"/>
              <w:bottom w:val="single" w:sz="4" w:space="0" w:color="FFFFFF"/>
              <w:right w:val="single" w:sz="4" w:space="0" w:color="FFFFFF"/>
            </w:tcBorders>
            <w:shd w:val="clear" w:color="auto" w:fill="D4DBE8"/>
          </w:tcPr>
          <w:p w14:paraId="0D24DCC6" w14:textId="77777777" w:rsidR="003524F2" w:rsidRDefault="003524F2" w:rsidP="001F2388">
            <w:pPr>
              <w:spacing w:line="259" w:lineRule="auto"/>
              <w:ind w:left="113"/>
            </w:pPr>
            <w:r>
              <w:rPr>
                <w:sz w:val="16"/>
              </w:rPr>
              <w:t>III–2B</w:t>
            </w:r>
          </w:p>
        </w:tc>
        <w:tc>
          <w:tcPr>
            <w:tcW w:w="1294" w:type="dxa"/>
            <w:tcBorders>
              <w:top w:val="single" w:sz="4" w:space="0" w:color="FFFFFF"/>
              <w:left w:val="single" w:sz="4" w:space="0" w:color="FFFFFF"/>
              <w:bottom w:val="single" w:sz="4" w:space="0" w:color="FFFFFF"/>
              <w:right w:val="nil"/>
            </w:tcBorders>
            <w:shd w:val="clear" w:color="auto" w:fill="D4DBE8"/>
          </w:tcPr>
          <w:p w14:paraId="5A365D3D" w14:textId="77777777" w:rsidR="003524F2" w:rsidRDefault="003524F2" w:rsidP="001F2388">
            <w:pPr>
              <w:spacing w:line="259" w:lineRule="auto"/>
              <w:ind w:left="113"/>
            </w:pPr>
            <w:r>
              <w:rPr>
                <w:sz w:val="16"/>
              </w:rPr>
              <w:t>50, 52, 53, 66</w:t>
            </w:r>
          </w:p>
        </w:tc>
      </w:tr>
      <w:tr w:rsidR="003524F2" w14:paraId="3C4BBFC2" w14:textId="77777777" w:rsidTr="001F2388">
        <w:trPr>
          <w:trHeight w:val="721"/>
        </w:trPr>
        <w:tc>
          <w:tcPr>
            <w:tcW w:w="0" w:type="auto"/>
            <w:vMerge/>
            <w:tcBorders>
              <w:top w:val="nil"/>
              <w:left w:val="nil"/>
              <w:bottom w:val="nil"/>
              <w:right w:val="single" w:sz="4" w:space="0" w:color="FFFFFF"/>
            </w:tcBorders>
          </w:tcPr>
          <w:p w14:paraId="102FFB83" w14:textId="77777777" w:rsidR="003524F2" w:rsidRDefault="003524F2" w:rsidP="001F2388">
            <w:pPr>
              <w:spacing w:after="160" w:line="259" w:lineRule="auto"/>
            </w:pPr>
          </w:p>
        </w:tc>
        <w:tc>
          <w:tcPr>
            <w:tcW w:w="0" w:type="auto"/>
            <w:vMerge/>
            <w:tcBorders>
              <w:top w:val="nil"/>
              <w:left w:val="single" w:sz="4" w:space="0" w:color="FFFFFF"/>
              <w:bottom w:val="nil"/>
              <w:right w:val="single" w:sz="4" w:space="0" w:color="FFFFFF"/>
            </w:tcBorders>
          </w:tcPr>
          <w:p w14:paraId="1BD084F8" w14:textId="77777777" w:rsidR="003524F2" w:rsidRDefault="003524F2" w:rsidP="001F2388">
            <w:pPr>
              <w:spacing w:after="160" w:line="259" w:lineRule="auto"/>
            </w:pPr>
          </w:p>
        </w:tc>
        <w:tc>
          <w:tcPr>
            <w:tcW w:w="3402" w:type="dxa"/>
            <w:tcBorders>
              <w:top w:val="single" w:sz="4" w:space="0" w:color="FFFFFF"/>
              <w:left w:val="single" w:sz="4" w:space="0" w:color="FFFFFF"/>
              <w:bottom w:val="single" w:sz="4" w:space="0" w:color="FFFFFF"/>
              <w:right w:val="nil"/>
            </w:tcBorders>
            <w:shd w:val="clear" w:color="auto" w:fill="D4DBE8"/>
          </w:tcPr>
          <w:p w14:paraId="2989D04C" w14:textId="77777777" w:rsidR="003524F2" w:rsidRDefault="003524F2" w:rsidP="001F2388">
            <w:pPr>
              <w:spacing w:line="259" w:lineRule="auto"/>
              <w:ind w:left="113"/>
            </w:pPr>
            <w:r>
              <w:rPr>
                <w:sz w:val="16"/>
              </w:rPr>
              <w:t xml:space="preserve">The need for further retinal  </w:t>
            </w:r>
          </w:p>
          <w:p w14:paraId="2708C1E9" w14:textId="77777777" w:rsidR="003524F2" w:rsidRDefault="003524F2" w:rsidP="001F2388">
            <w:pPr>
              <w:spacing w:line="259" w:lineRule="auto"/>
              <w:ind w:left="113" w:right="104"/>
            </w:pPr>
            <w:r>
              <w:rPr>
                <w:sz w:val="16"/>
              </w:rPr>
              <w:t>examinations should be guided by results of earlier examinations</w:t>
            </w:r>
          </w:p>
        </w:tc>
        <w:tc>
          <w:tcPr>
            <w:tcW w:w="1720" w:type="dxa"/>
            <w:tcBorders>
              <w:top w:val="single" w:sz="4" w:space="0" w:color="FFFFFF"/>
              <w:left w:val="nil"/>
              <w:bottom w:val="single" w:sz="4" w:space="0" w:color="FFFFFF"/>
              <w:right w:val="single" w:sz="4" w:space="0" w:color="FFFFFF"/>
            </w:tcBorders>
            <w:shd w:val="clear" w:color="auto" w:fill="D4DBE8"/>
          </w:tcPr>
          <w:p w14:paraId="1603DA5E" w14:textId="77777777" w:rsidR="003524F2" w:rsidRDefault="003524F2" w:rsidP="001F2388">
            <w:pPr>
              <w:spacing w:line="259" w:lineRule="auto"/>
            </w:pPr>
            <w:r>
              <w:rPr>
                <w:sz w:val="16"/>
              </w:rPr>
              <w:t>In the second and third trimesters</w:t>
            </w:r>
          </w:p>
        </w:tc>
        <w:tc>
          <w:tcPr>
            <w:tcW w:w="1276" w:type="dxa"/>
            <w:tcBorders>
              <w:top w:val="single" w:sz="4" w:space="0" w:color="FFFFFF"/>
              <w:left w:val="single" w:sz="4" w:space="0" w:color="FFFFFF"/>
              <w:bottom w:val="single" w:sz="4" w:space="0" w:color="FFFFFF"/>
              <w:right w:val="single" w:sz="4" w:space="0" w:color="FFFFFF"/>
            </w:tcBorders>
            <w:shd w:val="clear" w:color="auto" w:fill="D4DBE8"/>
          </w:tcPr>
          <w:p w14:paraId="2CDD1002" w14:textId="77777777" w:rsidR="003524F2" w:rsidRDefault="003524F2" w:rsidP="001F2388">
            <w:pPr>
              <w:spacing w:line="259" w:lineRule="auto"/>
              <w:ind w:left="113"/>
            </w:pPr>
            <w:r>
              <w:rPr>
                <w:sz w:val="16"/>
              </w:rPr>
              <w:t>IV</w:t>
            </w:r>
          </w:p>
        </w:tc>
        <w:tc>
          <w:tcPr>
            <w:tcW w:w="1294" w:type="dxa"/>
            <w:tcBorders>
              <w:top w:val="single" w:sz="4" w:space="0" w:color="FFFFFF"/>
              <w:left w:val="single" w:sz="4" w:space="0" w:color="FFFFFF"/>
              <w:bottom w:val="single" w:sz="4" w:space="0" w:color="FFFFFF"/>
              <w:right w:val="nil"/>
            </w:tcBorders>
            <w:shd w:val="clear" w:color="auto" w:fill="D4DBE8"/>
          </w:tcPr>
          <w:p w14:paraId="37BBD79F" w14:textId="77777777" w:rsidR="003524F2" w:rsidRDefault="003524F2" w:rsidP="001F2388">
            <w:pPr>
              <w:spacing w:line="259" w:lineRule="auto"/>
              <w:ind w:left="113"/>
            </w:pPr>
            <w:r>
              <w:rPr>
                <w:sz w:val="16"/>
              </w:rPr>
              <w:t>50, 52, 53, 66</w:t>
            </w:r>
          </w:p>
        </w:tc>
      </w:tr>
      <w:tr w:rsidR="003524F2" w14:paraId="1D113997" w14:textId="77777777" w:rsidTr="001F2388">
        <w:trPr>
          <w:trHeight w:val="531"/>
        </w:trPr>
        <w:tc>
          <w:tcPr>
            <w:tcW w:w="0" w:type="auto"/>
            <w:vMerge/>
            <w:tcBorders>
              <w:top w:val="nil"/>
              <w:left w:val="nil"/>
              <w:bottom w:val="single" w:sz="4" w:space="0" w:color="FFFFFF"/>
              <w:right w:val="single" w:sz="4" w:space="0" w:color="FFFFFF"/>
            </w:tcBorders>
          </w:tcPr>
          <w:p w14:paraId="41085CE1" w14:textId="77777777" w:rsidR="003524F2" w:rsidRDefault="003524F2" w:rsidP="001F2388">
            <w:pPr>
              <w:spacing w:after="160" w:line="259" w:lineRule="auto"/>
            </w:pPr>
          </w:p>
        </w:tc>
        <w:tc>
          <w:tcPr>
            <w:tcW w:w="0" w:type="auto"/>
            <w:vMerge/>
            <w:tcBorders>
              <w:top w:val="nil"/>
              <w:left w:val="single" w:sz="4" w:space="0" w:color="FFFFFF"/>
              <w:bottom w:val="single" w:sz="4" w:space="0" w:color="FFFFFF"/>
              <w:right w:val="single" w:sz="4" w:space="0" w:color="FFFFFF"/>
            </w:tcBorders>
          </w:tcPr>
          <w:p w14:paraId="78DFF0B0" w14:textId="77777777" w:rsidR="003524F2" w:rsidRDefault="003524F2" w:rsidP="001F2388">
            <w:pPr>
              <w:spacing w:after="160" w:line="259" w:lineRule="auto"/>
            </w:pPr>
          </w:p>
        </w:tc>
        <w:tc>
          <w:tcPr>
            <w:tcW w:w="3402" w:type="dxa"/>
            <w:tcBorders>
              <w:top w:val="single" w:sz="4" w:space="0" w:color="FFFFFF"/>
              <w:left w:val="single" w:sz="4" w:space="0" w:color="FFFFFF"/>
              <w:bottom w:val="single" w:sz="4" w:space="0" w:color="FFFFFF"/>
              <w:right w:val="nil"/>
            </w:tcBorders>
            <w:shd w:val="clear" w:color="auto" w:fill="D4DBE8"/>
          </w:tcPr>
          <w:p w14:paraId="42217EAF" w14:textId="77777777" w:rsidR="003524F2" w:rsidRDefault="003524F2" w:rsidP="001F2388">
            <w:pPr>
              <w:spacing w:line="259" w:lineRule="auto"/>
              <w:ind w:left="113"/>
            </w:pPr>
            <w:r>
              <w:rPr>
                <w:sz w:val="16"/>
              </w:rPr>
              <w:t>Provide ongoing ophthalmic follow-up in the post-partum period</w:t>
            </w:r>
          </w:p>
        </w:tc>
        <w:tc>
          <w:tcPr>
            <w:tcW w:w="1720" w:type="dxa"/>
            <w:vMerge w:val="restart"/>
            <w:tcBorders>
              <w:top w:val="single" w:sz="4" w:space="0" w:color="FFFFFF"/>
              <w:left w:val="nil"/>
              <w:bottom w:val="single" w:sz="4" w:space="0" w:color="FFFFFF"/>
              <w:right w:val="single" w:sz="4" w:space="0" w:color="FFFFFF"/>
            </w:tcBorders>
            <w:shd w:val="clear" w:color="auto" w:fill="D4DBE8"/>
          </w:tcPr>
          <w:p w14:paraId="1A05C509" w14:textId="77777777" w:rsidR="003524F2" w:rsidRDefault="003524F2" w:rsidP="001F2388">
            <w:pPr>
              <w:spacing w:after="151" w:line="248" w:lineRule="auto"/>
            </w:pPr>
            <w:r>
              <w:rPr>
                <w:sz w:val="16"/>
              </w:rPr>
              <w:t>For 6–12 months postpartum</w:t>
            </w:r>
          </w:p>
          <w:p w14:paraId="6A64AC5B" w14:textId="77777777" w:rsidR="003524F2" w:rsidRDefault="003524F2" w:rsidP="001F2388">
            <w:pPr>
              <w:spacing w:line="259" w:lineRule="auto"/>
            </w:pPr>
            <w:r>
              <w:rPr>
                <w:sz w:val="16"/>
              </w:rPr>
              <w:t xml:space="preserve">Opportunistic </w:t>
            </w:r>
          </w:p>
        </w:tc>
        <w:tc>
          <w:tcPr>
            <w:tcW w:w="1276" w:type="dxa"/>
            <w:vMerge w:val="restart"/>
            <w:tcBorders>
              <w:top w:val="single" w:sz="4" w:space="0" w:color="FFFFFF"/>
              <w:left w:val="single" w:sz="4" w:space="0" w:color="FFFFFF"/>
              <w:bottom w:val="single" w:sz="4" w:space="0" w:color="FFFFFF"/>
              <w:right w:val="single" w:sz="4" w:space="0" w:color="FFFFFF"/>
            </w:tcBorders>
            <w:shd w:val="clear" w:color="auto" w:fill="D4DBE8"/>
          </w:tcPr>
          <w:p w14:paraId="333500D7" w14:textId="77777777" w:rsidR="003524F2" w:rsidRDefault="003524F2" w:rsidP="001F2388">
            <w:pPr>
              <w:spacing w:after="332" w:line="259" w:lineRule="auto"/>
              <w:ind w:left="113"/>
            </w:pPr>
            <w:r>
              <w:rPr>
                <w:sz w:val="16"/>
              </w:rPr>
              <w:t>III–2B</w:t>
            </w:r>
          </w:p>
          <w:p w14:paraId="136E1385" w14:textId="77777777" w:rsidR="003524F2" w:rsidRDefault="003524F2" w:rsidP="001F2388">
            <w:pPr>
              <w:spacing w:line="259" w:lineRule="auto"/>
              <w:ind w:left="113"/>
            </w:pPr>
            <w:r>
              <w:rPr>
                <w:sz w:val="16"/>
              </w:rPr>
              <w:lastRenderedPageBreak/>
              <w:t>IIIC</w:t>
            </w:r>
          </w:p>
        </w:tc>
        <w:tc>
          <w:tcPr>
            <w:tcW w:w="1294" w:type="dxa"/>
            <w:vMerge w:val="restart"/>
            <w:tcBorders>
              <w:top w:val="single" w:sz="4" w:space="0" w:color="FFFFFF"/>
              <w:left w:val="single" w:sz="4" w:space="0" w:color="FFFFFF"/>
              <w:bottom w:val="single" w:sz="4" w:space="0" w:color="FFFFFF"/>
              <w:right w:val="nil"/>
            </w:tcBorders>
            <w:shd w:val="clear" w:color="auto" w:fill="D4DBE8"/>
          </w:tcPr>
          <w:p w14:paraId="00EF9FE0" w14:textId="77777777" w:rsidR="003524F2" w:rsidRDefault="003524F2" w:rsidP="001F2388">
            <w:pPr>
              <w:spacing w:after="332" w:line="259" w:lineRule="auto"/>
              <w:ind w:left="113"/>
            </w:pPr>
            <w:r>
              <w:rPr>
                <w:sz w:val="16"/>
              </w:rPr>
              <w:lastRenderedPageBreak/>
              <w:t>52, 53, 61</w:t>
            </w:r>
          </w:p>
          <w:p w14:paraId="03D4FD97" w14:textId="77777777" w:rsidR="003524F2" w:rsidRDefault="003524F2" w:rsidP="001F2388">
            <w:pPr>
              <w:spacing w:line="259" w:lineRule="auto"/>
              <w:ind w:left="113"/>
            </w:pPr>
            <w:r>
              <w:rPr>
                <w:sz w:val="16"/>
              </w:rPr>
              <w:lastRenderedPageBreak/>
              <w:t xml:space="preserve">38 </w:t>
            </w:r>
          </w:p>
        </w:tc>
      </w:tr>
      <w:tr w:rsidR="003524F2" w14:paraId="7C123AAA" w14:textId="77777777" w:rsidTr="001F2388">
        <w:trPr>
          <w:trHeight w:val="721"/>
        </w:trPr>
        <w:tc>
          <w:tcPr>
            <w:tcW w:w="1199" w:type="dxa"/>
            <w:vMerge w:val="restart"/>
            <w:tcBorders>
              <w:top w:val="single" w:sz="4" w:space="0" w:color="FFFFFF"/>
              <w:left w:val="nil"/>
              <w:bottom w:val="single" w:sz="4" w:space="0" w:color="FFFFFF"/>
              <w:right w:val="single" w:sz="4" w:space="0" w:color="FFFFFF"/>
            </w:tcBorders>
            <w:shd w:val="clear" w:color="auto" w:fill="B0BFD6"/>
          </w:tcPr>
          <w:p w14:paraId="38DB0984" w14:textId="77777777" w:rsidR="003524F2" w:rsidRDefault="003524F2" w:rsidP="001F2388">
            <w:pPr>
              <w:spacing w:line="259" w:lineRule="auto"/>
              <w:ind w:left="113"/>
            </w:pPr>
            <w:r>
              <w:rPr>
                <w:rFonts w:ascii="Arial" w:eastAsia="Arial" w:hAnsi="Arial" w:cs="Arial"/>
                <w:b/>
                <w:sz w:val="16"/>
              </w:rPr>
              <w:lastRenderedPageBreak/>
              <w:t>Behavioural</w:t>
            </w:r>
          </w:p>
        </w:tc>
        <w:tc>
          <w:tcPr>
            <w:tcW w:w="1063" w:type="dxa"/>
            <w:tcBorders>
              <w:top w:val="single" w:sz="4" w:space="0" w:color="FFFFFF"/>
              <w:left w:val="single" w:sz="4" w:space="0" w:color="FFFFFF"/>
              <w:bottom w:val="single" w:sz="4" w:space="0" w:color="FFFFFF"/>
              <w:right w:val="single" w:sz="4" w:space="0" w:color="FFFFFF"/>
            </w:tcBorders>
            <w:shd w:val="clear" w:color="auto" w:fill="D4DBE8"/>
          </w:tcPr>
          <w:p w14:paraId="4608D539" w14:textId="77777777" w:rsidR="003524F2" w:rsidRDefault="003524F2" w:rsidP="001F2388">
            <w:pPr>
              <w:spacing w:line="248" w:lineRule="auto"/>
              <w:ind w:left="113"/>
            </w:pPr>
            <w:r>
              <w:rPr>
                <w:sz w:val="16"/>
              </w:rPr>
              <w:t xml:space="preserve">People who currently </w:t>
            </w:r>
          </w:p>
          <w:p w14:paraId="5BE8B9C8" w14:textId="77777777" w:rsidR="003524F2" w:rsidRDefault="003524F2" w:rsidP="001F2388">
            <w:pPr>
              <w:spacing w:line="259" w:lineRule="auto"/>
              <w:ind w:left="113"/>
            </w:pPr>
            <w:r>
              <w:rPr>
                <w:sz w:val="16"/>
              </w:rPr>
              <w:t>smoke</w:t>
            </w:r>
          </w:p>
        </w:tc>
        <w:tc>
          <w:tcPr>
            <w:tcW w:w="3402" w:type="dxa"/>
            <w:tcBorders>
              <w:top w:val="single" w:sz="4" w:space="0" w:color="FFFFFF"/>
              <w:left w:val="single" w:sz="4" w:space="0" w:color="FFFFFF"/>
              <w:bottom w:val="single" w:sz="4" w:space="0" w:color="FFFFFF"/>
              <w:right w:val="nil"/>
            </w:tcBorders>
            <w:shd w:val="clear" w:color="auto" w:fill="D4DBE8"/>
          </w:tcPr>
          <w:p w14:paraId="0A2C11D7" w14:textId="77777777" w:rsidR="003524F2" w:rsidRDefault="003524F2" w:rsidP="001F2388">
            <w:pPr>
              <w:spacing w:line="248" w:lineRule="auto"/>
              <w:ind w:left="113" w:right="18"/>
            </w:pPr>
            <w:r>
              <w:rPr>
                <w:sz w:val="16"/>
              </w:rPr>
              <w:t>Advise smoking cessation to reduce the risk of developing cataracts</w:t>
            </w:r>
            <w:r w:rsidR="00F562F1">
              <w:rPr>
                <w:sz w:val="16"/>
              </w:rPr>
              <w:t xml:space="preserve"> </w:t>
            </w:r>
            <w:r w:rsidR="00F562F1" w:rsidRPr="00F562F1">
              <w:rPr>
                <w:sz w:val="16"/>
                <w:highlight w:val="yellow"/>
              </w:rPr>
              <w:t>and age-related macular</w:t>
            </w:r>
            <w:r w:rsidR="00F562F1">
              <w:rPr>
                <w:sz w:val="16"/>
              </w:rPr>
              <w:t xml:space="preserve"> degeneration</w:t>
            </w:r>
            <w:r>
              <w:rPr>
                <w:sz w:val="16"/>
              </w:rPr>
              <w:t xml:space="preserve"> (refer to Chapter 1: </w:t>
            </w:r>
          </w:p>
          <w:p w14:paraId="57B512F6" w14:textId="77777777" w:rsidR="003524F2" w:rsidRDefault="003524F2" w:rsidP="001F2388">
            <w:pPr>
              <w:spacing w:line="259" w:lineRule="auto"/>
              <w:ind w:left="113"/>
            </w:pPr>
            <w:r>
              <w:rPr>
                <w:sz w:val="16"/>
              </w:rPr>
              <w:t>Lifestyle, ‘Smoking’)</w:t>
            </w:r>
          </w:p>
        </w:tc>
        <w:tc>
          <w:tcPr>
            <w:tcW w:w="0" w:type="auto"/>
            <w:vMerge/>
            <w:tcBorders>
              <w:top w:val="nil"/>
              <w:left w:val="nil"/>
              <w:bottom w:val="single" w:sz="4" w:space="0" w:color="FFFFFF"/>
              <w:right w:val="single" w:sz="4" w:space="0" w:color="FFFFFF"/>
            </w:tcBorders>
          </w:tcPr>
          <w:p w14:paraId="58A54780" w14:textId="77777777" w:rsidR="003524F2" w:rsidRDefault="003524F2" w:rsidP="001F2388">
            <w:pPr>
              <w:spacing w:after="160" w:line="259" w:lineRule="auto"/>
            </w:pPr>
          </w:p>
        </w:tc>
        <w:tc>
          <w:tcPr>
            <w:tcW w:w="0" w:type="auto"/>
            <w:vMerge/>
            <w:tcBorders>
              <w:top w:val="nil"/>
              <w:left w:val="single" w:sz="4" w:space="0" w:color="FFFFFF"/>
              <w:bottom w:val="single" w:sz="4" w:space="0" w:color="FFFFFF"/>
              <w:right w:val="single" w:sz="4" w:space="0" w:color="FFFFFF"/>
            </w:tcBorders>
          </w:tcPr>
          <w:p w14:paraId="57B4D510" w14:textId="77777777" w:rsidR="003524F2" w:rsidRDefault="003524F2" w:rsidP="001F2388">
            <w:pPr>
              <w:spacing w:after="160" w:line="259" w:lineRule="auto"/>
            </w:pPr>
          </w:p>
        </w:tc>
        <w:tc>
          <w:tcPr>
            <w:tcW w:w="0" w:type="auto"/>
            <w:vMerge/>
            <w:tcBorders>
              <w:top w:val="nil"/>
              <w:left w:val="single" w:sz="4" w:space="0" w:color="FFFFFF"/>
              <w:bottom w:val="single" w:sz="4" w:space="0" w:color="FFFFFF"/>
              <w:right w:val="nil"/>
            </w:tcBorders>
          </w:tcPr>
          <w:p w14:paraId="4F5E9F4D" w14:textId="77777777" w:rsidR="003524F2" w:rsidRDefault="003524F2" w:rsidP="001F2388">
            <w:pPr>
              <w:spacing w:after="160" w:line="259" w:lineRule="auto"/>
            </w:pPr>
          </w:p>
        </w:tc>
      </w:tr>
      <w:tr w:rsidR="003524F2" w14:paraId="5507CFFF" w14:textId="77777777" w:rsidTr="001F2388">
        <w:trPr>
          <w:trHeight w:val="911"/>
        </w:trPr>
        <w:tc>
          <w:tcPr>
            <w:tcW w:w="0" w:type="auto"/>
            <w:vMerge/>
            <w:tcBorders>
              <w:top w:val="nil"/>
              <w:left w:val="nil"/>
              <w:bottom w:val="nil"/>
              <w:right w:val="single" w:sz="4" w:space="0" w:color="FFFFFF"/>
            </w:tcBorders>
          </w:tcPr>
          <w:p w14:paraId="626188F6" w14:textId="77777777" w:rsidR="003524F2" w:rsidRDefault="003524F2" w:rsidP="001F2388">
            <w:pPr>
              <w:spacing w:after="160" w:line="259" w:lineRule="auto"/>
            </w:pPr>
          </w:p>
        </w:tc>
        <w:tc>
          <w:tcPr>
            <w:tcW w:w="1063" w:type="dxa"/>
            <w:tcBorders>
              <w:top w:val="single" w:sz="4" w:space="0" w:color="FFFFFF"/>
              <w:left w:val="single" w:sz="4" w:space="0" w:color="FFFFFF"/>
              <w:bottom w:val="single" w:sz="4" w:space="0" w:color="FFFFFF"/>
              <w:right w:val="single" w:sz="4" w:space="0" w:color="FFFFFF"/>
            </w:tcBorders>
            <w:shd w:val="clear" w:color="auto" w:fill="D4DBE8"/>
          </w:tcPr>
          <w:p w14:paraId="52D03349" w14:textId="77777777" w:rsidR="003524F2" w:rsidRDefault="003524F2" w:rsidP="001F2388">
            <w:pPr>
              <w:spacing w:line="259" w:lineRule="auto"/>
              <w:ind w:left="113"/>
            </w:pPr>
            <w:r>
              <w:rPr>
                <w:sz w:val="16"/>
              </w:rPr>
              <w:t>All people</w:t>
            </w:r>
          </w:p>
        </w:tc>
        <w:tc>
          <w:tcPr>
            <w:tcW w:w="3402" w:type="dxa"/>
            <w:tcBorders>
              <w:top w:val="single" w:sz="4" w:space="0" w:color="FFFFFF"/>
              <w:left w:val="single" w:sz="4" w:space="0" w:color="FFFFFF"/>
              <w:bottom w:val="single" w:sz="4" w:space="0" w:color="FFFFFF"/>
              <w:right w:val="nil"/>
            </w:tcBorders>
            <w:shd w:val="clear" w:color="auto" w:fill="D4DBE8"/>
          </w:tcPr>
          <w:p w14:paraId="184C6345" w14:textId="77777777" w:rsidR="003524F2" w:rsidRDefault="003524F2" w:rsidP="001F2388">
            <w:pPr>
              <w:spacing w:line="259" w:lineRule="auto"/>
              <w:ind w:left="113" w:right="416"/>
            </w:pPr>
            <w:r>
              <w:rPr>
                <w:sz w:val="16"/>
              </w:rPr>
              <w:t>Recommend reduced ocular exposure to ultraviolet B light to reduce risk of cataract (</w:t>
            </w:r>
            <w:r w:rsidR="00DE2453">
              <w:rPr>
                <w:sz w:val="16"/>
              </w:rPr>
              <w:t>e.g.</w:t>
            </w:r>
            <w:r>
              <w:rPr>
                <w:sz w:val="16"/>
              </w:rPr>
              <w:t xml:space="preserve"> wearing a hat and sunglasses when outdoors) </w:t>
            </w:r>
          </w:p>
        </w:tc>
        <w:tc>
          <w:tcPr>
            <w:tcW w:w="1720" w:type="dxa"/>
            <w:tcBorders>
              <w:top w:val="single" w:sz="4" w:space="0" w:color="FFFFFF"/>
              <w:left w:val="nil"/>
              <w:bottom w:val="single" w:sz="4" w:space="0" w:color="FFFFFF"/>
              <w:right w:val="single" w:sz="4" w:space="0" w:color="FFFFFF"/>
            </w:tcBorders>
            <w:shd w:val="clear" w:color="auto" w:fill="D4DBE8"/>
          </w:tcPr>
          <w:p w14:paraId="4589092F" w14:textId="77777777" w:rsidR="003524F2" w:rsidRDefault="003524F2" w:rsidP="001F2388">
            <w:pPr>
              <w:spacing w:line="259" w:lineRule="auto"/>
            </w:pPr>
            <w:r>
              <w:rPr>
                <w:sz w:val="16"/>
              </w:rPr>
              <w:t xml:space="preserve">Opportunistic </w:t>
            </w:r>
          </w:p>
        </w:tc>
        <w:tc>
          <w:tcPr>
            <w:tcW w:w="1276" w:type="dxa"/>
            <w:tcBorders>
              <w:top w:val="single" w:sz="4" w:space="0" w:color="FFFFFF"/>
              <w:left w:val="single" w:sz="4" w:space="0" w:color="FFFFFF"/>
              <w:bottom w:val="single" w:sz="4" w:space="0" w:color="FFFFFF"/>
              <w:right w:val="single" w:sz="4" w:space="0" w:color="FFFFFF"/>
            </w:tcBorders>
            <w:shd w:val="clear" w:color="auto" w:fill="D4DBE8"/>
          </w:tcPr>
          <w:p w14:paraId="353235FA" w14:textId="77777777" w:rsidR="003524F2" w:rsidRDefault="003524F2" w:rsidP="001F2388">
            <w:pPr>
              <w:spacing w:line="259" w:lineRule="auto"/>
              <w:ind w:left="113"/>
            </w:pPr>
            <w:r>
              <w:rPr>
                <w:sz w:val="16"/>
              </w:rPr>
              <w:t>IIIC</w:t>
            </w:r>
          </w:p>
        </w:tc>
        <w:tc>
          <w:tcPr>
            <w:tcW w:w="1294" w:type="dxa"/>
            <w:tcBorders>
              <w:top w:val="single" w:sz="4" w:space="0" w:color="FFFFFF"/>
              <w:left w:val="single" w:sz="4" w:space="0" w:color="FFFFFF"/>
              <w:bottom w:val="single" w:sz="4" w:space="0" w:color="FFFFFF"/>
              <w:right w:val="nil"/>
            </w:tcBorders>
            <w:shd w:val="clear" w:color="auto" w:fill="D4DBE8"/>
          </w:tcPr>
          <w:p w14:paraId="624D92DB" w14:textId="77777777" w:rsidR="003524F2" w:rsidRDefault="003524F2" w:rsidP="001F2388">
            <w:pPr>
              <w:spacing w:line="259" w:lineRule="auto"/>
              <w:ind w:left="113"/>
            </w:pPr>
            <w:r>
              <w:rPr>
                <w:sz w:val="16"/>
              </w:rPr>
              <w:t>38, 68, 69</w:t>
            </w:r>
          </w:p>
        </w:tc>
      </w:tr>
      <w:tr w:rsidR="003524F2" w14:paraId="54495479" w14:textId="77777777" w:rsidTr="001F2388">
        <w:trPr>
          <w:trHeight w:val="911"/>
        </w:trPr>
        <w:tc>
          <w:tcPr>
            <w:tcW w:w="0" w:type="auto"/>
            <w:vMerge/>
            <w:tcBorders>
              <w:top w:val="nil"/>
              <w:left w:val="nil"/>
              <w:bottom w:val="single" w:sz="4" w:space="0" w:color="FFFFFF"/>
              <w:right w:val="single" w:sz="4" w:space="0" w:color="FFFFFF"/>
            </w:tcBorders>
          </w:tcPr>
          <w:p w14:paraId="27C34DD1" w14:textId="77777777" w:rsidR="003524F2" w:rsidRDefault="003524F2" w:rsidP="001F2388">
            <w:pPr>
              <w:spacing w:after="160" w:line="259" w:lineRule="auto"/>
            </w:pPr>
          </w:p>
        </w:tc>
        <w:tc>
          <w:tcPr>
            <w:tcW w:w="1063" w:type="dxa"/>
            <w:tcBorders>
              <w:top w:val="single" w:sz="4" w:space="0" w:color="FFFFFF"/>
              <w:left w:val="single" w:sz="4" w:space="0" w:color="FFFFFF"/>
              <w:bottom w:val="single" w:sz="4" w:space="0" w:color="FFFFFF"/>
              <w:right w:val="single" w:sz="4" w:space="0" w:color="FFFFFF"/>
            </w:tcBorders>
            <w:shd w:val="clear" w:color="auto" w:fill="D4DBE8"/>
          </w:tcPr>
          <w:p w14:paraId="0A8D1F26" w14:textId="77777777" w:rsidR="003524F2" w:rsidRDefault="003524F2" w:rsidP="001F2388">
            <w:pPr>
              <w:spacing w:line="259" w:lineRule="auto"/>
              <w:ind w:left="113"/>
            </w:pPr>
            <w:r>
              <w:rPr>
                <w:sz w:val="16"/>
              </w:rPr>
              <w:t>All people</w:t>
            </w:r>
          </w:p>
        </w:tc>
        <w:tc>
          <w:tcPr>
            <w:tcW w:w="3402" w:type="dxa"/>
            <w:tcBorders>
              <w:top w:val="single" w:sz="4" w:space="0" w:color="FFFFFF"/>
              <w:left w:val="single" w:sz="4" w:space="0" w:color="FFFFFF"/>
              <w:bottom w:val="single" w:sz="4" w:space="0" w:color="FFFFFF"/>
              <w:right w:val="nil"/>
            </w:tcBorders>
            <w:shd w:val="clear" w:color="auto" w:fill="D4DBE8"/>
          </w:tcPr>
          <w:p w14:paraId="62F0AE93" w14:textId="77777777" w:rsidR="003524F2" w:rsidRDefault="003524F2" w:rsidP="001F2388">
            <w:pPr>
              <w:spacing w:line="259" w:lineRule="auto"/>
              <w:ind w:left="113" w:right="456"/>
            </w:pPr>
            <w:r>
              <w:rPr>
                <w:sz w:val="16"/>
              </w:rPr>
              <w:t xml:space="preserve">Recommend a balanced diet high in fruit and </w:t>
            </w:r>
            <w:r w:rsidR="006149DB" w:rsidRPr="006149DB">
              <w:rPr>
                <w:sz w:val="16"/>
                <w:highlight w:val="yellow"/>
              </w:rPr>
              <w:t>green leafy</w:t>
            </w:r>
            <w:r w:rsidR="006149DB">
              <w:rPr>
                <w:sz w:val="16"/>
              </w:rPr>
              <w:t xml:space="preserve"> </w:t>
            </w:r>
            <w:r>
              <w:rPr>
                <w:sz w:val="16"/>
              </w:rPr>
              <w:t>vegetables to reduce the risk of developing cataract and age-related macular degeneration</w:t>
            </w:r>
          </w:p>
        </w:tc>
        <w:tc>
          <w:tcPr>
            <w:tcW w:w="1720" w:type="dxa"/>
            <w:tcBorders>
              <w:top w:val="single" w:sz="4" w:space="0" w:color="FFFFFF"/>
              <w:left w:val="nil"/>
              <w:bottom w:val="single" w:sz="4" w:space="0" w:color="FFFFFF"/>
              <w:right w:val="single" w:sz="4" w:space="0" w:color="FFFFFF"/>
            </w:tcBorders>
            <w:shd w:val="clear" w:color="auto" w:fill="D4DBE8"/>
          </w:tcPr>
          <w:p w14:paraId="466618F7" w14:textId="77777777" w:rsidR="003524F2" w:rsidRDefault="003524F2" w:rsidP="001F2388">
            <w:pPr>
              <w:spacing w:line="259" w:lineRule="auto"/>
            </w:pPr>
            <w:r>
              <w:rPr>
                <w:sz w:val="16"/>
              </w:rPr>
              <w:t>Opportunistic</w:t>
            </w:r>
          </w:p>
        </w:tc>
        <w:tc>
          <w:tcPr>
            <w:tcW w:w="1276" w:type="dxa"/>
            <w:tcBorders>
              <w:top w:val="single" w:sz="4" w:space="0" w:color="FFFFFF"/>
              <w:left w:val="single" w:sz="4" w:space="0" w:color="FFFFFF"/>
              <w:bottom w:val="single" w:sz="4" w:space="0" w:color="FFFFFF"/>
              <w:right w:val="single" w:sz="4" w:space="0" w:color="FFFFFF"/>
            </w:tcBorders>
            <w:shd w:val="clear" w:color="auto" w:fill="D4DBE8"/>
          </w:tcPr>
          <w:p w14:paraId="55D89438" w14:textId="77777777" w:rsidR="003524F2" w:rsidRDefault="003524F2" w:rsidP="001F2388">
            <w:pPr>
              <w:spacing w:line="259" w:lineRule="auto"/>
              <w:ind w:left="113"/>
            </w:pPr>
            <w:r>
              <w:rPr>
                <w:sz w:val="16"/>
              </w:rPr>
              <w:t>IIB</w:t>
            </w:r>
          </w:p>
        </w:tc>
        <w:tc>
          <w:tcPr>
            <w:tcW w:w="1294" w:type="dxa"/>
            <w:tcBorders>
              <w:top w:val="single" w:sz="4" w:space="0" w:color="FFFFFF"/>
              <w:left w:val="single" w:sz="4" w:space="0" w:color="FFFFFF"/>
              <w:bottom w:val="single" w:sz="4" w:space="0" w:color="FFFFFF"/>
              <w:right w:val="nil"/>
            </w:tcBorders>
            <w:shd w:val="clear" w:color="auto" w:fill="D4DBE8"/>
          </w:tcPr>
          <w:p w14:paraId="70BB1609" w14:textId="77777777" w:rsidR="003524F2" w:rsidRDefault="003524F2" w:rsidP="001F2388">
            <w:pPr>
              <w:spacing w:line="259" w:lineRule="auto"/>
              <w:ind w:left="113"/>
            </w:pPr>
            <w:r>
              <w:rPr>
                <w:sz w:val="16"/>
              </w:rPr>
              <w:t>37</w:t>
            </w:r>
          </w:p>
        </w:tc>
      </w:tr>
    </w:tbl>
    <w:p w14:paraId="1C3A93E1" w14:textId="77777777" w:rsidR="006619CA" w:rsidRDefault="006619CA" w:rsidP="006619CA">
      <w:pPr>
        <w:pStyle w:val="Heading3"/>
      </w:pPr>
      <w:r>
        <w:t>Resources</w:t>
      </w:r>
    </w:p>
    <w:p w14:paraId="0E47E420" w14:textId="77777777" w:rsidR="006619CA" w:rsidRPr="00B63574" w:rsidRDefault="006619CA" w:rsidP="00C95BA3">
      <w:pPr>
        <w:pStyle w:val="ListParagraph0"/>
        <w:numPr>
          <w:ilvl w:val="0"/>
          <w:numId w:val="20"/>
        </w:numPr>
        <w:autoSpaceDE w:val="0"/>
        <w:autoSpaceDN w:val="0"/>
        <w:adjustRightInd w:val="0"/>
        <w:rPr>
          <w:rFonts w:asciiTheme="majorHAnsi" w:eastAsia="HelveticaNeueLTStd-Lt" w:hAnsiTheme="majorHAnsi" w:cstheme="majorHAnsi"/>
          <w:szCs w:val="22"/>
        </w:rPr>
      </w:pPr>
      <w:r>
        <w:rPr>
          <w:rFonts w:asciiTheme="majorHAnsi" w:eastAsia="HelveticaNeueLTStd-Lt" w:hAnsiTheme="majorHAnsi" w:cstheme="majorHAnsi"/>
          <w:szCs w:val="22"/>
        </w:rPr>
        <w:t xml:space="preserve">Vision 2020 Australia. </w:t>
      </w:r>
      <w:r w:rsidRPr="006A6E5A">
        <w:rPr>
          <w:rFonts w:asciiTheme="majorHAnsi" w:eastAsia="HelveticaNeueLTStd-Lt" w:hAnsiTheme="majorHAnsi" w:cstheme="majorHAnsi"/>
          <w:i/>
          <w:szCs w:val="22"/>
        </w:rPr>
        <w:t>National Eye Health Survey</w:t>
      </w:r>
      <w:r>
        <w:rPr>
          <w:rFonts w:asciiTheme="majorHAnsi" w:eastAsia="HelveticaNeueLTStd-Lt" w:hAnsiTheme="majorHAnsi" w:cstheme="majorHAnsi"/>
          <w:i/>
          <w:szCs w:val="22"/>
        </w:rPr>
        <w:t>,</w:t>
      </w:r>
      <w:r w:rsidRPr="00B63574">
        <w:t xml:space="preserve"> </w:t>
      </w:r>
      <w:r>
        <w:t xml:space="preserve">Full Report </w:t>
      </w:r>
      <w:hyperlink r:id="rId25" w:history="1">
        <w:r w:rsidRPr="00ED03B1">
          <w:rPr>
            <w:rStyle w:val="Hyperlink"/>
            <w:rFonts w:asciiTheme="majorHAnsi" w:eastAsia="HelveticaNeueLTStd-Lt" w:hAnsiTheme="majorHAnsi" w:cstheme="majorHAnsi"/>
            <w:i/>
            <w:szCs w:val="22"/>
          </w:rPr>
          <w:t>https://www.vision2020australia.org.au/resources/national-eye-health-survey-report/</w:t>
        </w:r>
      </w:hyperlink>
    </w:p>
    <w:p w14:paraId="77075ABE" w14:textId="77777777" w:rsidR="006619CA" w:rsidRDefault="006619CA" w:rsidP="00C95BA3">
      <w:pPr>
        <w:pStyle w:val="ListParagraph0"/>
        <w:numPr>
          <w:ilvl w:val="0"/>
          <w:numId w:val="20"/>
        </w:numPr>
        <w:autoSpaceDE w:val="0"/>
        <w:autoSpaceDN w:val="0"/>
        <w:adjustRightInd w:val="0"/>
        <w:rPr>
          <w:rFonts w:asciiTheme="majorHAnsi" w:eastAsia="HelveticaNeueLTStd-Lt" w:hAnsiTheme="majorHAnsi" w:cstheme="majorHAnsi"/>
          <w:szCs w:val="22"/>
        </w:rPr>
      </w:pPr>
      <w:r w:rsidRPr="003E2FAA">
        <w:rPr>
          <w:rFonts w:asciiTheme="majorHAnsi" w:eastAsia="HelveticaNeueLTStd-Lt" w:hAnsiTheme="majorHAnsi" w:cstheme="majorHAnsi"/>
          <w:szCs w:val="22"/>
        </w:rPr>
        <w:t xml:space="preserve">Centre for Eye Research Australia (CERA), Melbourne School of Population and Global Health, University of Melbourne, </w:t>
      </w:r>
      <w:r w:rsidRPr="003E2FAA">
        <w:rPr>
          <w:rFonts w:asciiTheme="majorHAnsi" w:eastAsia="HelveticaNeueLTStd-Lt" w:hAnsiTheme="majorHAnsi" w:cstheme="majorHAnsi"/>
          <w:i/>
          <w:iCs/>
          <w:szCs w:val="22"/>
        </w:rPr>
        <w:t>National Indigenous Eye Health Survey: Minum barreng (Tracking eyes) – Full report</w:t>
      </w:r>
      <w:r w:rsidRPr="003E2FAA">
        <w:rPr>
          <w:rFonts w:asciiTheme="majorHAnsi" w:eastAsia="HelveticaNeueLTStd-Lt" w:hAnsiTheme="majorHAnsi" w:cstheme="majorHAnsi"/>
          <w:szCs w:val="22"/>
        </w:rPr>
        <w:t xml:space="preserve">, </w:t>
      </w:r>
      <w:hyperlink r:id="rId26" w:history="1">
        <w:r w:rsidRPr="00F506F4">
          <w:rPr>
            <w:rStyle w:val="Hyperlink"/>
            <w:rFonts w:asciiTheme="majorHAnsi" w:eastAsia="HelveticaNeueLTStd-Lt" w:hAnsiTheme="majorHAnsi" w:cstheme="majorHAnsi"/>
            <w:szCs w:val="22"/>
          </w:rPr>
          <w:t>http://mspgh.unimelb.edu.au/__data/assets/pdf_file/0004/1984144/niehs_full_report.pdf</w:t>
        </w:r>
      </w:hyperlink>
    </w:p>
    <w:p w14:paraId="703110EC" w14:textId="77777777" w:rsidR="006619CA" w:rsidRDefault="006619CA" w:rsidP="00C95BA3">
      <w:pPr>
        <w:pStyle w:val="BodyText"/>
        <w:numPr>
          <w:ilvl w:val="0"/>
          <w:numId w:val="20"/>
        </w:numPr>
        <w:rPr>
          <w:rFonts w:asciiTheme="majorHAnsi" w:eastAsia="HelveticaNeueLTStd-Lt" w:hAnsiTheme="majorHAnsi" w:cstheme="majorHAnsi"/>
          <w:szCs w:val="22"/>
        </w:rPr>
      </w:pPr>
      <w:r w:rsidRPr="003E2FAA">
        <w:rPr>
          <w:rFonts w:asciiTheme="majorHAnsi" w:eastAsia="HelveticaNeueLTStd-Lt" w:hAnsiTheme="majorHAnsi" w:cstheme="majorHAnsi"/>
          <w:szCs w:val="22"/>
        </w:rPr>
        <w:t xml:space="preserve">Lions Outback Vision, </w:t>
      </w:r>
      <w:r w:rsidRPr="003E2FAA">
        <w:rPr>
          <w:rFonts w:asciiTheme="majorHAnsi" w:eastAsia="HelveticaNeueLTStd-Lt" w:hAnsiTheme="majorHAnsi" w:cstheme="majorHAnsi"/>
          <w:i/>
          <w:iCs/>
          <w:szCs w:val="22"/>
        </w:rPr>
        <w:t xml:space="preserve">Diabetic retinopathy screening manual, </w:t>
      </w:r>
      <w:hyperlink r:id="rId27" w:history="1">
        <w:r w:rsidRPr="00F506F4">
          <w:rPr>
            <w:rStyle w:val="Hyperlink"/>
            <w:rFonts w:asciiTheme="majorHAnsi" w:eastAsia="HelveticaNeueLTStd-Lt" w:hAnsiTheme="majorHAnsi" w:cstheme="majorHAnsi"/>
            <w:szCs w:val="22"/>
          </w:rPr>
          <w:t>www.outbackvision.com.au/wp-content/uploads/2017/03/161212-lov.man_.002-diabetic-retinopathy-screening-manual.pdf</w:t>
        </w:r>
      </w:hyperlink>
    </w:p>
    <w:p w14:paraId="25632F23" w14:textId="77777777" w:rsidR="00BE7719" w:rsidRPr="00BE7719" w:rsidRDefault="00BE7719" w:rsidP="00C95BA3">
      <w:pPr>
        <w:pStyle w:val="BodyText"/>
        <w:numPr>
          <w:ilvl w:val="0"/>
          <w:numId w:val="20"/>
        </w:numPr>
        <w:rPr>
          <w:szCs w:val="22"/>
        </w:rPr>
      </w:pPr>
      <w:r>
        <w:rPr>
          <w:szCs w:val="22"/>
        </w:rPr>
        <w:t xml:space="preserve">Royal Australian and New Zealand College of Ophthalmologists Referral Pathways Diabetic Retinopathy Management, AMD Management and Glaucoma Management </w:t>
      </w:r>
      <w:hyperlink r:id="rId28" w:history="1">
        <w:r w:rsidRPr="00304E7C">
          <w:rPr>
            <w:rStyle w:val="Hyperlink"/>
            <w:szCs w:val="22"/>
          </w:rPr>
          <w:t>https://ranzco.edu/home/policies-and-guidelines/referral-pathway/</w:t>
        </w:r>
      </w:hyperlink>
      <w:r>
        <w:rPr>
          <w:szCs w:val="22"/>
        </w:rPr>
        <w:t xml:space="preserve"> </w:t>
      </w:r>
    </w:p>
    <w:p w14:paraId="69141FDD" w14:textId="77777777" w:rsidR="006619CA" w:rsidRPr="003E2FAA" w:rsidRDefault="006619CA" w:rsidP="00C95BA3">
      <w:pPr>
        <w:pStyle w:val="BodyText"/>
        <w:numPr>
          <w:ilvl w:val="0"/>
          <w:numId w:val="20"/>
        </w:numPr>
        <w:rPr>
          <w:szCs w:val="22"/>
        </w:rPr>
      </w:pPr>
      <w:r w:rsidRPr="003E2FAA">
        <w:rPr>
          <w:rFonts w:eastAsia="HelveticaNeueLTStd-Lt"/>
          <w:szCs w:val="22"/>
        </w:rPr>
        <w:t xml:space="preserve">National Health and Medical Research Council (NHMRC), Guidelines for the management of diabetic retinopathy, </w:t>
      </w:r>
      <w:hyperlink r:id="rId29" w:history="1">
        <w:r w:rsidRPr="003E2FAA">
          <w:rPr>
            <w:rStyle w:val="Hyperlink"/>
            <w:rFonts w:eastAsia="HelveticaNeueLTStd-Lt"/>
            <w:szCs w:val="22"/>
          </w:rPr>
          <w:t>www.nhmrc.gov.au/_files_nhmrc/file/publications/synopses/di15.pdf</w:t>
        </w:r>
      </w:hyperlink>
    </w:p>
    <w:p w14:paraId="44174C6F" w14:textId="77777777" w:rsidR="007A4CF7" w:rsidRDefault="007A4CF7">
      <w:pPr>
        <w:spacing w:before="80" w:after="80"/>
        <w:rPr>
          <w:rFonts w:eastAsia="Times New Roman" w:cs="Times New Roman"/>
          <w:lang w:eastAsia="en-AU"/>
        </w:rPr>
      </w:pPr>
      <w:r>
        <w:br w:type="page"/>
      </w:r>
    </w:p>
    <w:p w14:paraId="4CDC0E6C" w14:textId="77777777" w:rsidR="006619CA" w:rsidRDefault="006619CA" w:rsidP="006619CA">
      <w:pPr>
        <w:pStyle w:val="Heading1"/>
      </w:pPr>
      <w:r w:rsidRPr="00146415">
        <w:lastRenderedPageBreak/>
        <w:t>References</w:t>
      </w:r>
      <w:r>
        <w:t xml:space="preserve"> </w:t>
      </w:r>
    </w:p>
    <w:p w14:paraId="312225BE"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1. Foreman J, Keel S, Xie J, van Wijngaarden P, et al. National Eye Health Survey. Vision 2020 Australia, 2016.</w:t>
      </w:r>
    </w:p>
    <w:p w14:paraId="060EC211"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2. US Preventive Services Task Force. Guide to clinical preventive services. Report of the USPSTF. 2nd edn. Baltimore, MD: Williams and Wilkins, 1996.</w:t>
      </w:r>
    </w:p>
    <w:p w14:paraId="7F37CA0F" w14:textId="77777777" w:rsidR="006619CA" w:rsidRPr="00785740" w:rsidRDefault="006619CA" w:rsidP="006619CA">
      <w:pPr>
        <w:pStyle w:val="BodyText"/>
        <w:rPr>
          <w:rFonts w:asciiTheme="majorHAnsi" w:eastAsia="HelveticaNeueLTStd-Lt" w:hAnsiTheme="majorHAnsi" w:cstheme="majorHAnsi"/>
          <w:sz w:val="20"/>
          <w:szCs w:val="20"/>
        </w:rPr>
      </w:pPr>
      <w:r w:rsidRPr="00785740">
        <w:rPr>
          <w:rFonts w:asciiTheme="majorHAnsi" w:eastAsia="HelveticaNeueLTStd-Lt" w:hAnsiTheme="majorHAnsi" w:cstheme="majorHAnsi"/>
          <w:sz w:val="20"/>
          <w:szCs w:val="20"/>
        </w:rPr>
        <w:t>3. Anjou MD, Boudville AI, Taylor HR. Correcting Indigenous Australians’ refractive error and presbyopia. Clin Exp Ophthalmol</w:t>
      </w:r>
    </w:p>
    <w:p w14:paraId="1A4F9105" w14:textId="77777777" w:rsidR="006619CA" w:rsidRPr="00785740" w:rsidRDefault="006619CA" w:rsidP="006619CA">
      <w:pPr>
        <w:pStyle w:val="BodyText"/>
        <w:rPr>
          <w:rFonts w:asciiTheme="majorHAnsi" w:eastAsia="HelveticaNeueLTStd-Lt" w:hAnsiTheme="majorHAnsi" w:cstheme="majorHAnsi"/>
          <w:sz w:val="20"/>
          <w:szCs w:val="20"/>
        </w:rPr>
      </w:pPr>
      <w:r w:rsidRPr="00785740">
        <w:rPr>
          <w:rFonts w:asciiTheme="majorHAnsi" w:eastAsia="HelveticaNeueLTStd-Lt" w:hAnsiTheme="majorHAnsi" w:cstheme="majorHAnsi"/>
          <w:sz w:val="20"/>
          <w:szCs w:val="20"/>
        </w:rPr>
        <w:t>2013;41(4):320–28.</w:t>
      </w:r>
    </w:p>
    <w:p w14:paraId="797B321F" w14:textId="77777777" w:rsidR="006619CA" w:rsidRPr="00785740" w:rsidRDefault="006619CA" w:rsidP="006619CA">
      <w:pPr>
        <w:pStyle w:val="BodyText"/>
        <w:rPr>
          <w:rFonts w:asciiTheme="majorHAnsi" w:eastAsia="HelveticaNeueLTStd-Lt" w:hAnsiTheme="majorHAnsi" w:cstheme="majorHAnsi"/>
          <w:sz w:val="20"/>
          <w:szCs w:val="20"/>
        </w:rPr>
      </w:pPr>
      <w:r w:rsidRPr="00785740">
        <w:rPr>
          <w:rFonts w:asciiTheme="majorHAnsi" w:eastAsia="HelveticaNeueLTStd-Lt" w:hAnsiTheme="majorHAnsi" w:cstheme="majorHAnsi"/>
          <w:sz w:val="20"/>
          <w:szCs w:val="20"/>
        </w:rPr>
        <w:t>4. National Indigenous Eye Health Survey Team. Minum Barreng (Tracking Eyes) Full Report: National Indigenous Eye Health Survey. Version 2, 2009. Available at www.iehu.unimelb.edu.au/publications/the_national_indigenous_eye_health_survey [Accessed 10 November 2017].</w:t>
      </w:r>
    </w:p>
    <w:p w14:paraId="063ED024" w14:textId="77777777" w:rsidR="006619CA" w:rsidRPr="00785740" w:rsidRDefault="006619CA" w:rsidP="006619CA">
      <w:pPr>
        <w:pStyle w:val="BodyText"/>
        <w:rPr>
          <w:rFonts w:asciiTheme="majorHAnsi" w:eastAsia="HelveticaNeueLTStd-Lt" w:hAnsiTheme="majorHAnsi" w:cstheme="majorHAnsi"/>
          <w:sz w:val="20"/>
          <w:szCs w:val="20"/>
        </w:rPr>
      </w:pPr>
      <w:r w:rsidRPr="00785740">
        <w:rPr>
          <w:rFonts w:asciiTheme="majorHAnsi" w:eastAsia="HelveticaNeueLTStd-Lt" w:hAnsiTheme="majorHAnsi" w:cstheme="majorHAnsi"/>
          <w:sz w:val="20"/>
          <w:szCs w:val="20"/>
        </w:rPr>
        <w:t>5. Japp D, Robson C, Colledge N. 13 strategies to improve visual assessment in patients attending a day hospital: A closed audit loop. Age Ageing 2014;43(Suppl 1):i3–i.</w:t>
      </w:r>
    </w:p>
    <w:p w14:paraId="32C3B8BD" w14:textId="77777777" w:rsidR="006619CA" w:rsidRPr="00785740" w:rsidRDefault="006619CA" w:rsidP="006619CA">
      <w:pPr>
        <w:pStyle w:val="BodyText"/>
        <w:rPr>
          <w:rFonts w:asciiTheme="majorHAnsi" w:eastAsia="HelveticaNeueLTStd-Lt" w:hAnsiTheme="majorHAnsi" w:cstheme="majorHAnsi"/>
          <w:sz w:val="20"/>
          <w:szCs w:val="20"/>
        </w:rPr>
      </w:pPr>
      <w:r w:rsidRPr="00785740">
        <w:rPr>
          <w:rFonts w:asciiTheme="majorHAnsi" w:eastAsia="HelveticaNeueLTStd-Lt" w:hAnsiTheme="majorHAnsi" w:cstheme="majorHAnsi"/>
          <w:sz w:val="20"/>
          <w:szCs w:val="20"/>
        </w:rPr>
        <w:t>6. Green C, Goodfellow J, Kubie J. Eye care in the elderly. Aust Fam Physician 2014;43(7):447.</w:t>
      </w:r>
    </w:p>
    <w:p w14:paraId="19930553" w14:textId="77777777" w:rsidR="006619CA" w:rsidRPr="00785740" w:rsidRDefault="006619CA" w:rsidP="006619CA">
      <w:pPr>
        <w:pStyle w:val="BodyText"/>
        <w:rPr>
          <w:rFonts w:asciiTheme="majorHAnsi" w:eastAsia="HelveticaNeueLTStd-Lt" w:hAnsiTheme="majorHAnsi" w:cstheme="majorHAnsi"/>
          <w:sz w:val="20"/>
          <w:szCs w:val="20"/>
        </w:rPr>
      </w:pPr>
      <w:r w:rsidRPr="00785740">
        <w:rPr>
          <w:rFonts w:asciiTheme="majorHAnsi" w:eastAsia="HelveticaNeueLTStd-Lt" w:hAnsiTheme="majorHAnsi" w:cstheme="majorHAnsi"/>
          <w:sz w:val="20"/>
          <w:szCs w:val="20"/>
        </w:rPr>
        <w:t>7. The Royal Australian College of General Practitioners. Guidelines for preventive activities in general practice. 9th edn. East Melbourne, Vic: RACGP, 2016.</w:t>
      </w:r>
    </w:p>
    <w:p w14:paraId="384012C0" w14:textId="77777777" w:rsidR="006619CA" w:rsidRPr="00785740" w:rsidRDefault="006619CA" w:rsidP="006619CA">
      <w:pPr>
        <w:pStyle w:val="BodyText"/>
        <w:rPr>
          <w:rFonts w:asciiTheme="majorHAnsi" w:eastAsia="HelveticaNeueLTStd-Lt" w:hAnsiTheme="majorHAnsi" w:cstheme="majorHAnsi"/>
          <w:sz w:val="20"/>
          <w:szCs w:val="20"/>
        </w:rPr>
      </w:pPr>
      <w:r w:rsidRPr="00785740">
        <w:rPr>
          <w:rFonts w:asciiTheme="majorHAnsi" w:eastAsia="HelveticaNeueLTStd-Lt" w:hAnsiTheme="majorHAnsi" w:cstheme="majorHAnsi"/>
          <w:sz w:val="20"/>
          <w:szCs w:val="20"/>
        </w:rPr>
        <w:t>8. Christ SL, Zheng DD, Swenor BK, et al. Longitudinal relationships among visual acuity, daily functional status, and mortality: The Salisbury Eye Evaluation Study. JAMA Ophthalmol 2014;132(12):1400–06.</w:t>
      </w:r>
    </w:p>
    <w:p w14:paraId="0D1C222D" w14:textId="77777777" w:rsidR="006619CA" w:rsidRPr="00785740" w:rsidRDefault="006619CA" w:rsidP="006619CA">
      <w:pPr>
        <w:pStyle w:val="BodyText"/>
        <w:rPr>
          <w:rFonts w:asciiTheme="majorHAnsi" w:eastAsia="HelveticaNeueLTStd-Lt" w:hAnsiTheme="majorHAnsi" w:cstheme="majorHAnsi"/>
          <w:sz w:val="20"/>
          <w:szCs w:val="20"/>
        </w:rPr>
      </w:pPr>
      <w:r w:rsidRPr="00785740">
        <w:rPr>
          <w:rFonts w:asciiTheme="majorHAnsi" w:eastAsia="HelveticaNeueLTStd-Lt" w:hAnsiTheme="majorHAnsi" w:cstheme="majorHAnsi"/>
          <w:sz w:val="20"/>
          <w:szCs w:val="20"/>
        </w:rPr>
        <w:t>9. Nevitt M, et al. Risk factors for injurious falls: A prospective study. J Gerontol 1991;46:164–70.</w:t>
      </w:r>
    </w:p>
    <w:p w14:paraId="0B57C456" w14:textId="77777777" w:rsidR="006619CA" w:rsidRPr="00785740" w:rsidRDefault="006619CA" w:rsidP="006619CA">
      <w:pPr>
        <w:pStyle w:val="BodyText"/>
        <w:rPr>
          <w:rFonts w:asciiTheme="majorHAnsi" w:eastAsia="HelveticaNeueLTStd-Lt" w:hAnsiTheme="majorHAnsi" w:cstheme="majorHAnsi"/>
          <w:sz w:val="20"/>
          <w:szCs w:val="20"/>
        </w:rPr>
      </w:pPr>
      <w:r w:rsidRPr="00785740">
        <w:rPr>
          <w:rFonts w:asciiTheme="majorHAnsi" w:eastAsia="HelveticaNeueLTStd-Lt" w:hAnsiTheme="majorHAnsi" w:cstheme="majorHAnsi"/>
          <w:sz w:val="20"/>
          <w:szCs w:val="20"/>
        </w:rPr>
        <w:t>10. Taylor HR, et al. Updates in medicine: Ophthalmology. Med J Aust 2002;176(29).</w:t>
      </w:r>
    </w:p>
    <w:p w14:paraId="4113BC42" w14:textId="77777777" w:rsidR="006619CA" w:rsidRPr="00785740" w:rsidRDefault="006619CA" w:rsidP="006619CA">
      <w:pPr>
        <w:pStyle w:val="BodyText"/>
        <w:rPr>
          <w:rFonts w:asciiTheme="majorHAnsi" w:eastAsia="HelveticaNeueLTStd-Lt" w:hAnsiTheme="majorHAnsi" w:cstheme="majorHAnsi"/>
          <w:sz w:val="20"/>
          <w:szCs w:val="20"/>
        </w:rPr>
      </w:pPr>
      <w:r w:rsidRPr="00785740">
        <w:rPr>
          <w:rFonts w:asciiTheme="majorHAnsi" w:eastAsia="HelveticaNeueLTStd-Lt" w:hAnsiTheme="majorHAnsi" w:cstheme="majorHAnsi"/>
          <w:sz w:val="20"/>
          <w:szCs w:val="20"/>
        </w:rPr>
        <w:t>11. Liu E, Ng SK, Kahawita S, et al. Ten year all</w:t>
      </w:r>
      <w:r w:rsidRPr="00785740">
        <w:rPr>
          <w:rFonts w:ascii="Cambria Math" w:eastAsia="HelveticaNeueLTStd-Lt" w:hAnsi="Cambria Math" w:cs="Cambria Math"/>
          <w:sz w:val="20"/>
          <w:szCs w:val="20"/>
        </w:rPr>
        <w:t>‐</w:t>
      </w:r>
      <w:r w:rsidRPr="00785740">
        <w:rPr>
          <w:rFonts w:asciiTheme="majorHAnsi" w:eastAsia="HelveticaNeueLTStd-Lt" w:hAnsiTheme="majorHAnsi" w:cstheme="majorHAnsi"/>
          <w:sz w:val="20"/>
          <w:szCs w:val="20"/>
        </w:rPr>
        <w:t>cause mortality and its association with vision among indigenous Australians within central Australia: The central Australian ocular health study. Clin Exp Ophthalmol 2016.</w:t>
      </w:r>
    </w:p>
    <w:p w14:paraId="2D29FF7A" w14:textId="77777777" w:rsidR="006619CA" w:rsidRPr="00672A43" w:rsidRDefault="006619CA" w:rsidP="006619CA">
      <w:pPr>
        <w:pStyle w:val="BodyText"/>
        <w:rPr>
          <w:rFonts w:asciiTheme="majorHAnsi" w:eastAsia="HelveticaNeueLTStd-Lt" w:hAnsiTheme="majorHAnsi" w:cstheme="majorHAnsi"/>
          <w:sz w:val="20"/>
          <w:szCs w:val="20"/>
        </w:rPr>
      </w:pPr>
      <w:r w:rsidRPr="00785740">
        <w:rPr>
          <w:rFonts w:asciiTheme="majorHAnsi" w:eastAsia="HelveticaNeueLTStd-Lt" w:hAnsiTheme="majorHAnsi" w:cstheme="majorHAnsi"/>
          <w:sz w:val="20"/>
          <w:szCs w:val="20"/>
        </w:rPr>
        <w:t>12. Landers J, Henderson T, Craig J. The prevalence and causes of visual impairment in indigenous Australians within central Australia: The Central Australian Ocular Health Study. Br J Ophthalmol 2010;94(9):1140–44.</w:t>
      </w:r>
    </w:p>
    <w:p w14:paraId="3F3ABA72"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13. Arnold ALM, Goujon N, Busija L, et al. Near</w:t>
      </w:r>
      <w:r w:rsidRPr="00672A43">
        <w:rPr>
          <w:rFonts w:ascii="Cambria Math" w:eastAsia="HelveticaNeueLTStd-Lt" w:hAnsi="Cambria Math" w:cs="Cambria Math"/>
          <w:sz w:val="20"/>
          <w:szCs w:val="20"/>
        </w:rPr>
        <w:t>‐</w:t>
      </w:r>
      <w:r w:rsidRPr="00672A43">
        <w:rPr>
          <w:rFonts w:asciiTheme="majorHAnsi" w:eastAsia="HelveticaNeueLTStd-Lt" w:hAnsiTheme="majorHAnsi" w:cstheme="majorHAnsi"/>
          <w:sz w:val="20"/>
          <w:szCs w:val="20"/>
        </w:rPr>
        <w:t>vision impairment and unresolved vision problems in Indigenous Australian adults. Clin Exp Ophthalmol 2013;41(3):223–30.</w:t>
      </w:r>
    </w:p>
    <w:p w14:paraId="4B0F7A0F"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14. Randall DA, Reinten T, Maher L, et al. Disparities in cataract surgery between Aboriginal and non</w:t>
      </w:r>
      <w:r w:rsidRPr="00672A43">
        <w:rPr>
          <w:rFonts w:ascii="Cambria Math" w:eastAsia="HelveticaNeueLTStd-Lt" w:hAnsi="Cambria Math" w:cs="Cambria Math"/>
          <w:sz w:val="20"/>
          <w:szCs w:val="20"/>
        </w:rPr>
        <w:t>‐</w:t>
      </w:r>
      <w:r w:rsidRPr="00672A43">
        <w:rPr>
          <w:rFonts w:asciiTheme="majorHAnsi" w:eastAsia="HelveticaNeueLTStd-Lt" w:hAnsiTheme="majorHAnsi" w:cstheme="majorHAnsi"/>
          <w:sz w:val="20"/>
          <w:szCs w:val="20"/>
        </w:rPr>
        <w:t>Aboriginal people in New South Wales, Australia. Clin Exp Ophthalmol 2014;42(7):629–36.</w:t>
      </w:r>
    </w:p>
    <w:p w14:paraId="2BCA78B4"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15. Mathers M, Keyes M, Wright M. A review of the evidence on the effectiveness of children’s vision screening. Child Care Health Dev 2010;36(6):756–80.</w:t>
      </w:r>
    </w:p>
    <w:p w14:paraId="11855069"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16. Centre for Community Child Health. National children’s vision screening project discussion paper. Melbourne: Centre for Community Child Health, 2008.</w:t>
      </w:r>
    </w:p>
    <w:p w14:paraId="426A7667"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17. Hopkins S, Sampson GP, Hendicott P, Wood JM. Review of guidelines for children’s vision screenings. Clin Exp Optom 2013;96(5):443–49.</w:t>
      </w:r>
    </w:p>
    <w:p w14:paraId="094D3858"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18. Hopkins S, Sampson GP, Hendicott PL, Wood JM. A visual profile of Queensland Indigenous children. Optom Vis Sci 2016;93(3):251–58.</w:t>
      </w:r>
    </w:p>
    <w:p w14:paraId="72774329"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19. Central Australian Rural Practitioners Association. CARPA standard treatment manual. 7th edn. Alice Springs: Centre for Remote Health, 2017. Available at www.remotephcmanuals.com.au/# [Accessed 6 November 2017].</w:t>
      </w:r>
    </w:p>
    <w:p w14:paraId="645868C3"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20. Queensland Health, Royal Flying Doctor Service Australia (Queensland Section), Apunipima Cape York Health Council. Chronic conditions manual: Prevention and management of chronic conditions in Australia. Cairns: Rural and Remote Clinical Support Unit, Torres and Cape Hospital and Health Service, 2015. Available at https://publications.qld.gov.au/dataset/ef6d9f9e-e8aa-445e-a345-02a016e7251b/resource/</w:t>
      </w:r>
      <w:r>
        <w:rPr>
          <w:rFonts w:asciiTheme="majorHAnsi" w:eastAsia="HelveticaNeueLTStd-Lt" w:hAnsiTheme="majorHAnsi" w:cstheme="majorHAnsi"/>
          <w:sz w:val="20"/>
          <w:szCs w:val="20"/>
        </w:rPr>
        <w:t xml:space="preserve"> </w:t>
      </w:r>
      <w:r w:rsidRPr="00672A43">
        <w:rPr>
          <w:rFonts w:asciiTheme="majorHAnsi" w:eastAsia="HelveticaNeueLTStd-Lt" w:hAnsiTheme="majorHAnsi" w:cstheme="majorHAnsi"/>
          <w:sz w:val="20"/>
          <w:szCs w:val="20"/>
        </w:rPr>
        <w:t>bbe5439c-be87-45b6-b704-3b557fbee1e0/download/chronicconditionsmanual1stedition.pdf [Accessed 10 October 2017].</w:t>
      </w:r>
    </w:p>
    <w:p w14:paraId="2EB7FE32"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 xml:space="preserve">21. Western Australia Department of Health. Community Health Manual. Guideline: Birth to school aged children. Government of Western Australia, 2007 (updated 2014). Available at </w:t>
      </w:r>
      <w:hyperlink r:id="rId30" w:history="1">
        <w:r w:rsidRPr="00ED03B1">
          <w:rPr>
            <w:rStyle w:val="Hyperlink"/>
            <w:rFonts w:asciiTheme="majorHAnsi" w:eastAsia="HelveticaNeueLTStd-Lt" w:hAnsiTheme="majorHAnsi" w:cstheme="majorHAnsi"/>
            <w:sz w:val="20"/>
            <w:szCs w:val="20"/>
          </w:rPr>
          <w:t>www.pmh.health.wa.gov.au/general/CACH/docs/manual/4%20School%20Aged%20</w:t>
        </w:r>
      </w:hyperlink>
      <w:r>
        <w:rPr>
          <w:rFonts w:asciiTheme="majorHAnsi" w:eastAsia="HelveticaNeueLTStd-Lt" w:hAnsiTheme="majorHAnsi" w:cstheme="majorHAnsi"/>
          <w:sz w:val="20"/>
          <w:szCs w:val="20"/>
        </w:rPr>
        <w:t xml:space="preserve"> </w:t>
      </w:r>
      <w:r w:rsidRPr="00672A43">
        <w:rPr>
          <w:rFonts w:asciiTheme="majorHAnsi" w:eastAsia="HelveticaNeueLTStd-Lt" w:hAnsiTheme="majorHAnsi" w:cstheme="majorHAnsi"/>
          <w:sz w:val="20"/>
          <w:szCs w:val="20"/>
        </w:rPr>
        <w:t>Children/4.4/4.4.2/4.4.2.1.1_Vision_Developmental_Grid.pdf [Accessed 10 November 2017].</w:t>
      </w:r>
    </w:p>
    <w:p w14:paraId="639F9995"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22. Central Australian Rural Practitioners Association, Central Australian Aboriginal Congress, CRANAplus, Centre for Remote Health. Minymaku Kutju Tjukurpa – Women’s business manual: Standard treatment manual for women’s business in remote and Indigenous health services in Central and Northern Australia. 6th edn. Alice Springs: Centre for Remote Health, 2017. Available at http:// remotephcmanuals.com.au/publication/wbm.html [Accessed 6 November 2017].</w:t>
      </w:r>
    </w:p>
    <w:p w14:paraId="7CD3C5A9"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23. Murray A, Jones L, Milne A, et al. A systematic review of the safety and efficacy of elective photorefractive surgery for the correction of refractive error 2005. Available at www.nice.org.uk/nicemedia/pdf/ip/Finalreport%20010605.pdf</w:t>
      </w:r>
    </w:p>
    <w:p w14:paraId="6352F11C"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24. US Preventive Services Task Force. Screening for impaired visual acuity in older adults: Recommendation statement. Ann Intern Med 2009;151:37–43.</w:t>
      </w:r>
    </w:p>
    <w:p w14:paraId="7FF89DCD"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 xml:space="preserve">25. Department of Health. Medicare Benefits Schedule. Canberra: MBS Online, 2017. Available at </w:t>
      </w:r>
      <w:hyperlink r:id="rId31" w:history="1">
        <w:r w:rsidRPr="00672A43">
          <w:rPr>
            <w:rStyle w:val="Hyperlink"/>
            <w:rFonts w:asciiTheme="majorHAnsi" w:eastAsia="HelveticaNeueLTStd-Lt" w:hAnsiTheme="majorHAnsi" w:cstheme="majorHAnsi"/>
            <w:sz w:val="20"/>
            <w:szCs w:val="20"/>
          </w:rPr>
          <w:t>www.mbsonline.gov.au/internet/mbsonline/publishing.nsf/Content/Home</w:t>
        </w:r>
      </w:hyperlink>
      <w:r w:rsidRPr="00672A43">
        <w:rPr>
          <w:rFonts w:asciiTheme="majorHAnsi" w:eastAsia="HelveticaNeueLTStd-Lt" w:hAnsiTheme="majorHAnsi" w:cstheme="majorHAnsi"/>
          <w:sz w:val="20"/>
          <w:szCs w:val="20"/>
        </w:rPr>
        <w:t xml:space="preserve">  [Accessed 10 November].</w:t>
      </w:r>
    </w:p>
    <w:p w14:paraId="7FCAD17B"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26. CRANAplus, Central Australian Aboriginal Congress, Central Austalian Rural Practitioners Association Flinders University through the Center for Remote Health. Clinical procedures manual for remote and rural practice. 4rd edn. Alice Springs: Centre for Remote Health, 2017. Available at https://docs.remotephcmanuals.com.au/review/g/manuals2017-manuals/d/20362.html [Accessed 19 October 2017].</w:t>
      </w:r>
    </w:p>
    <w:p w14:paraId="22D36062"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27. Chou R, Dana T, Bougatsos C. Screening for visual impairment in older adults: Systematic review to update the 1996 US Preventive Services Task Force recommendation. Rockville, MD: Agency for Healthcare Research and Quality, 2009.</w:t>
      </w:r>
    </w:p>
    <w:p w14:paraId="22255D74"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28. Siu AL, Bibbins-Domingo K, Grossman DC, et al. Screening for impaired visual acuity in older adults: US Preventive Services Task Force recommendation statement. JAMA 2016;315(9):908–14.</w:t>
      </w:r>
    </w:p>
    <w:p w14:paraId="0E7EFA6B"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29. International Council of Ophthalmology. Visual standards: Aspects and ranges of vision loss with emphasis on population surveys. Report prepared for the International Council of Ophthalmology at the 29th International Congress of Ophthalmology. Sydney, 2002.</w:t>
      </w:r>
    </w:p>
    <w:p w14:paraId="38599517"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30. Powe NR, Schein OD, Gieser Sc, et al. Synthesis of the literature on visual acuity and complications following cataract extraction with intraocular lens implantation. Cataract Patient Outcome Research Team. Arch Ophthalmol 1994;112:239–52.</w:t>
      </w:r>
    </w:p>
    <w:p w14:paraId="5FB9725D"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31. Agramunt S, Meuleners LB, Fraser ML, Morlet N, Chow KC, Ng JQ. Bilateral cataract, crash risk, driving performance, and self-regulation practices among older drivers. J Cataract Refract Surg 2016;42(5):788–94.</w:t>
      </w:r>
    </w:p>
    <w:p w14:paraId="68653FE9"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32. Owsley C, McGwin G Jr, Sloane M, Wells J, Stalvey BT, Gauthreaux S. Impact of cataract surgery on motor vehicle crash involvement by older adults. JAMA 2002;288(7):841–49.</w:t>
      </w:r>
    </w:p>
    <w:p w14:paraId="0F51BD97"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33. Gillespie LD, Robertson MC, Gillespie WJ, et al. Interventions for preventing falls in older people living in the community. Cochrane Database Syst Rev 2012;9(11).</w:t>
      </w:r>
    </w:p>
    <w:p w14:paraId="4DE30B91"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34. Karlsson MK, Magnusson H, von Schewelov T, Rosengren B. Prevention of falls in the elderly—a review. Osteoporosis Int 2013;24(3):747–62.</w:t>
      </w:r>
    </w:p>
    <w:p w14:paraId="1A3F9EFB"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35. Hewitt A, Verman N, Gruen R. Visual outcomes for remote Australian Aboriginal people after cataract surgery. Clin Exp Ophthalmol 2001;29(2):68–74.</w:t>
      </w:r>
    </w:p>
    <w:p w14:paraId="15C2CCD7"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36. Kang JH, Wu J, Cho E, et al. Contribution of the Nurses’ Health Study to the epidemiology of cataract, age-related macular degeneration, and glaucoma. Am J Public Health 2016;106(9):1684–89.</w:t>
      </w:r>
    </w:p>
    <w:p w14:paraId="6D391CC9"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37. Prepared for the National Health and Medical Research Council by Biotext Pty Ltd. Risk factors for eye disease and injury. Literature review, 2008.. Available at www.health.gov.au/internet/publications/publishing.nsf/Content/ageing-eyehealth-risk-factors.htm [Accessed</w:t>
      </w:r>
    </w:p>
    <w:p w14:paraId="43122C34"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10 November 2017].</w:t>
      </w:r>
    </w:p>
    <w:p w14:paraId="2B3690FF"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38. Office for Aboriginal and Torres Strait Islander Health. Specialist eye health guidelines for use in Aboriginal and Torres Strait Islander populations. Cataract, diabetic retinopathy, trachoma. Canberra: Department of Health, 2001.</w:t>
      </w:r>
    </w:p>
    <w:p w14:paraId="676552C3"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lastRenderedPageBreak/>
        <w:t>39. West S. Ocular ultraviolet B exposure and lens opacities: A review. J Epidemiol 1999;9(6 Suppl):S97–101.</w:t>
      </w:r>
    </w:p>
    <w:p w14:paraId="3524F1A9"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40. McCarty CA, Taylor HR. A review of the epidemiologic evidence linking ultraviolet radiation and cataracts. Dev Ophthalmol 2002;35:21–31.</w:t>
      </w:r>
    </w:p>
    <w:p w14:paraId="6557ACAB"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41. Robman L, Taylor H. External factors in the development of cataract. Eye 2005;19(10):1074–82.</w:t>
      </w:r>
    </w:p>
    <w:p w14:paraId="6F8818E0"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42. Tan JS, Wang JJ, Younan C, Cumming RG, Rochtchina E, Mitchell P. Smoking and the long-term incidence of cataract: The Blue Mountains Eye Study. Ophthalmic Epidemiol 2008;15(3):155–61.</w:t>
      </w:r>
    </w:p>
    <w:p w14:paraId="532F33C6"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43. Goujon N, Brown CM, Xie J, et al. Self</w:t>
      </w:r>
      <w:r w:rsidRPr="00672A43">
        <w:rPr>
          <w:rFonts w:ascii="Cambria Math" w:eastAsia="HelveticaNeueLTStd-Lt" w:hAnsi="Cambria Math" w:cs="Cambria Math"/>
          <w:sz w:val="20"/>
          <w:szCs w:val="20"/>
        </w:rPr>
        <w:t>‐</w:t>
      </w:r>
      <w:r w:rsidRPr="00672A43">
        <w:rPr>
          <w:rFonts w:asciiTheme="majorHAnsi" w:eastAsia="HelveticaNeueLTStd-Lt" w:hAnsiTheme="majorHAnsi" w:cstheme="majorHAnsi"/>
          <w:sz w:val="20"/>
          <w:szCs w:val="20"/>
        </w:rPr>
        <w:t>reported vision and health of indigenous Australians. Clin Exp Ophthalmol 2010;38(8):796–804.</w:t>
      </w:r>
    </w:p>
    <w:p w14:paraId="54E20A12"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44. Kostis JB, Dobrzynski JM. Prevention of cataracts by statins: A meta-analysis. J Cardiovasc Pharmacol Ther 2014;19(2):191–200.</w:t>
      </w:r>
    </w:p>
    <w:p w14:paraId="7EA937E4"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45. Landers J, Henderson T, Abhary S, Craig J. Prevalence and associations of diabetic retinopathy in indigenous Australians within</w:t>
      </w:r>
    </w:p>
    <w:p w14:paraId="3CD2207C"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central Australia: The Central Australian Ocular Health Study. Clin Exp Ophthalmol 2010;38(4):393–97.</w:t>
      </w:r>
    </w:p>
    <w:p w14:paraId="64351C39"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46. Tapp RJ, Shaw JE, Harper CA, et al. The prevalence of and factors associated with diabetic retinopathy in the Australian population. Diabetes Care 2003;26(6):1731–37.</w:t>
      </w:r>
    </w:p>
    <w:p w14:paraId="6488951D"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47. Central Australian Aboriginal Congress, Central Australian Rural Practitioners Association Inc, CRANAplus Inc, Flinders University through the Centre for Remote Health. Reference book for the remote primary health care manuals. Alice Springs: Centre for Remote Health, 2014. Available at www.remotephcmanuals.com.au/publication/ref.html [Accessed 10 November 2017].</w:t>
      </w:r>
    </w:p>
    <w:p w14:paraId="66CD74A4"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48. Landers J, Henderson T, Abhary S, Craig J. Incidence of diabetic retinopathy in indigenous Australians within Central Australia: The Central Australian Ocular Health Study. Clin Exp Ophthalmol 2012;40(1):83–87.</w:t>
      </w:r>
    </w:p>
    <w:p w14:paraId="7300A220"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49. McKay R, McCarty CA, Taylor HR. Diabetic retinopathy in Victoria, Australia: The visual impairment project. Br J Ophthalmol 2000;84(8):865–70.</w:t>
      </w:r>
    </w:p>
    <w:p w14:paraId="7A588AB3"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50. National Health and Medical Research Council and Australian Diabetes Society. Guidelines for the management of diabetic retinopathy. Canberra: NHMRC, 2008.</w:t>
      </w:r>
    </w:p>
    <w:p w14:paraId="31CDF694"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51. Morris D. Prevention and treatment of diabetic retinopathy. Nurse Prescribing 2012;10(1):22–24.</w:t>
      </w:r>
    </w:p>
    <w:p w14:paraId="457967DA"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52. Solomon SD, Chew E, Duh EJ, et al. Diabetic retinopathy: A position statement by the American Diabetes Association. Diabetes Care 2017;40(3):412–18.</w:t>
      </w:r>
    </w:p>
    <w:p w14:paraId="5D91F919"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53. Morrison JL, Hodgson LA, Lim LL, Al</w:t>
      </w:r>
      <w:r w:rsidRPr="00672A43">
        <w:rPr>
          <w:rFonts w:ascii="Cambria Math" w:eastAsia="HelveticaNeueLTStd-Lt" w:hAnsi="Cambria Math" w:cs="Cambria Math"/>
          <w:sz w:val="20"/>
          <w:szCs w:val="20"/>
        </w:rPr>
        <w:t>‐</w:t>
      </w:r>
      <w:r w:rsidRPr="00672A43">
        <w:rPr>
          <w:rFonts w:asciiTheme="majorHAnsi" w:eastAsia="HelveticaNeueLTStd-Lt" w:hAnsiTheme="majorHAnsi" w:cstheme="majorHAnsi"/>
          <w:sz w:val="20"/>
          <w:szCs w:val="20"/>
        </w:rPr>
        <w:t>Qureshi S. Diabetic retinopathy in pregnancy: A review. J Clin Exp Ophthalmol 2016;44(4):321–34.</w:t>
      </w:r>
    </w:p>
    <w:p w14:paraId="440E2B4B"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 xml:space="preserve">54. The Royal Australian College of General Practitioners. Management of type 2 diabetes: A handbook for general practice: 2016–18: East Melbourne, Vic: RACGP, 2016. Available at </w:t>
      </w:r>
      <w:hyperlink r:id="rId32" w:history="1">
        <w:r w:rsidRPr="00672A43">
          <w:rPr>
            <w:rStyle w:val="Hyperlink"/>
            <w:rFonts w:asciiTheme="majorHAnsi" w:eastAsia="HelveticaNeueLTStd-Lt" w:hAnsiTheme="majorHAnsi" w:cstheme="majorHAnsi"/>
            <w:sz w:val="20"/>
            <w:szCs w:val="20"/>
          </w:rPr>
          <w:t>https://www.racgp.org.au/getattachment/41fee8dc-7f97-4f87-9d90-b7af337af778/Management-of-type-2-diabetes-A-handbook-for-general-practice.aspx</w:t>
        </w:r>
      </w:hyperlink>
      <w:r w:rsidRPr="00672A43">
        <w:rPr>
          <w:rFonts w:asciiTheme="majorHAnsi" w:eastAsia="HelveticaNeueLTStd-Lt" w:hAnsiTheme="majorHAnsi" w:cstheme="majorHAnsi"/>
          <w:sz w:val="20"/>
          <w:szCs w:val="20"/>
        </w:rPr>
        <w:t xml:space="preserve">  [Accessed 19 October 2020].</w:t>
      </w:r>
    </w:p>
    <w:p w14:paraId="6E9FB5B5"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55. Mohamed Q, Gillies MC,Wong TY. Management of diabetic retinopathy: A systematic review. JAMA 2007;298(8):902–16.</w:t>
      </w:r>
    </w:p>
    <w:p w14:paraId="000ADC51"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56. Centre for Eye Research Australia. Diabetic retinopathy: Fact sheet. East Melbourne, Vic: CERA, 2008. Available at www.cera.org.au/uploads/CERA_factsheet_DiabeticRetinopathy.pdf [Accessed 10 October 2011].</w:t>
      </w:r>
    </w:p>
    <w:p w14:paraId="3BB2B0C5"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57. Ku J, Landers J, Henderson T, Craig JE. The reliability of single-field fundus photography in screening for diabetic retinopathy: The Central Australian Ocular Health Study. Med J Aust 2013;198(2):93–96.</w:t>
      </w:r>
    </w:p>
    <w:p w14:paraId="513448E3"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58. Tapp RJ, Svoboda J, Fredericks B, Jackson AJ, Taylor HR. Retinal photography screening programs to prevent vision loss from diabetic retinopathy in rural and urban Australia: A review. Ophthalmic Epidemiol 2015;22(1):52–59.</w:t>
      </w:r>
    </w:p>
    <w:p w14:paraId="5DDD1357"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59. Bragge P, Gruen RL, Chau M, Forbes A, Taylor HR. Screening for presence or absence of diabetic retinopathy: A meta-analysis. Arch Ophthalmol 2011;129(4):435–44.</w:t>
      </w:r>
    </w:p>
    <w:p w14:paraId="053BD982"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60. Aiello LP, DCCT/EDIC research Group. Diabetic retinopathy and other ocular findings in the diabetes control and complications trial/epidemiology of diabetes interventions and complications study. Diabetes Care 2014;37(1):17–23.</w:t>
      </w:r>
    </w:p>
    <w:p w14:paraId="64140F17"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lastRenderedPageBreak/>
        <w:t>61. The Royal College of Opthamologists. Diabetic retinopathy guidelines. London: RCOPHTH, 2012. Available at www.rcophth.ac.uk/wpcontent/uploads/2014/12/2013-SCI-301-FINAL-DR-GUIDELINES-DEC-2012-updated-July-2013.pdf [Accessed 15 November 2017].</w:t>
      </w:r>
    </w:p>
    <w:p w14:paraId="7093CE67"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62. Ting DS, Cheung GC, Wong TY. Diabetic retinopathy: Global prevalence, major risk factors, screening practices and public health challenges: A review. Clin Exp Ophthalmol 2016;44(4):260–77.</w:t>
      </w:r>
    </w:p>
    <w:p w14:paraId="71623894"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63. Marozas LM, Fort PE. Diabetic retinopathy – Update on prevention techniques, present therapies, and new leads. US Ophthalmic Rev 2014;7(1):54–58.</w:t>
      </w:r>
    </w:p>
    <w:p w14:paraId="60218D02"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64. Chew EY, Davis MD, Danis RP, et al. The effects of medical management on the progression of diabetic retinopathy in persons with type 2 diabetes: The Action to Control Cardiovascular Risk in Diabetes (ACCORD) Eye Study. Ophthalmology 2014;121(12):2443–51.</w:t>
      </w:r>
    </w:p>
    <w:p w14:paraId="022B80B0"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65. Klein R, Klein BE, Moss SE, Davis MD, DeMets DL. Glycosylated hemoglobin predicts the incidence and progression of diabetic retinopathy. JAMA 1988;260:2864–71.</w:t>
      </w:r>
    </w:p>
    <w:p w14:paraId="59F4962F"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66. Pan American Association of Opthamology. Guidelines for diabetic eye care. International Council of Ophthalmology, 2016. Available at www.icoph.org/resources/364/ICO-PAAO-Guidelines-for-Diabetic-Eye-Care.html [Accessed 15 November 2017].</w:t>
      </w:r>
    </w:p>
    <w:p w14:paraId="17327666"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67. Force UPST. Vision screening for children 1 to 5 years of age: US Preventive Services Task Force Recommendation statement. Pediatrics 2011;127(2):340–46.</w:t>
      </w:r>
    </w:p>
    <w:p w14:paraId="05F4F210"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68. McCarty CA, Taylor HR. A review of the epidemiologic evidence linking ultraviolet radiation and cataracts. Dev Ophthalmol 2002;35:21–31.</w:t>
      </w:r>
    </w:p>
    <w:p w14:paraId="20F6FC79" w14:textId="77777777" w:rsidR="006619CA" w:rsidRPr="00672A43" w:rsidRDefault="006619CA" w:rsidP="006619CA">
      <w:pPr>
        <w:pStyle w:val="BodyText"/>
        <w:rPr>
          <w:rFonts w:asciiTheme="majorHAnsi" w:eastAsia="HelveticaNeueLTStd-Lt" w:hAnsiTheme="majorHAnsi" w:cstheme="majorHAnsi"/>
          <w:sz w:val="20"/>
          <w:szCs w:val="20"/>
        </w:rPr>
      </w:pPr>
      <w:r w:rsidRPr="00672A43">
        <w:rPr>
          <w:rFonts w:asciiTheme="majorHAnsi" w:eastAsia="HelveticaNeueLTStd-Lt" w:hAnsiTheme="majorHAnsi" w:cstheme="majorHAnsi"/>
          <w:sz w:val="20"/>
          <w:szCs w:val="20"/>
        </w:rPr>
        <w:t>69. West S. Ocular ultraviolet B exposure and lens opacities: A review. J Epidemiol 1999;9(6 Suppl):S97–101.</w:t>
      </w:r>
    </w:p>
    <w:p w14:paraId="3E406B53" w14:textId="07C13757" w:rsidR="002C4E66" w:rsidRDefault="002C4E66">
      <w:pPr>
        <w:spacing w:before="80" w:after="80"/>
        <w:rPr>
          <w:rFonts w:eastAsia="Times New Roman" w:cs="Times New Roman"/>
          <w:szCs w:val="24"/>
          <w:lang w:eastAsia="en-AU"/>
        </w:rPr>
      </w:pPr>
      <w:r>
        <w:br w:type="page"/>
      </w:r>
    </w:p>
    <w:p w14:paraId="4ED61590" w14:textId="77777777" w:rsidR="002C4E66" w:rsidRDefault="002C4E66" w:rsidP="002C4E66">
      <w:pPr>
        <w:pStyle w:val="Heading1"/>
      </w:pPr>
      <w:bookmarkStart w:id="7" w:name="_Attachment_C"/>
      <w:bookmarkEnd w:id="7"/>
      <w:r>
        <w:lastRenderedPageBreak/>
        <w:t>Attachment 3: Members of the Vision 2020 Australia Prevention and Early Intervention Committee</w:t>
      </w:r>
    </w:p>
    <w:p w14:paraId="0606185F" w14:textId="77777777" w:rsidR="002C4E66" w:rsidRDefault="002C4E66" w:rsidP="002C4E66">
      <w:pPr>
        <w:pStyle w:val="BodyText"/>
      </w:pPr>
    </w:p>
    <w:p w14:paraId="32E1ACEF" w14:textId="77777777" w:rsidR="002C4E66" w:rsidRDefault="002C4E66" w:rsidP="002C4E66">
      <w:pPr>
        <w:pStyle w:val="BodyText"/>
      </w:pPr>
      <w:r>
        <w:t>Member organisations on the Vision 2020 Australia Prevention and Early Intervention Committee, who endorse this submission:</w:t>
      </w:r>
    </w:p>
    <w:p w14:paraId="16B41E0D" w14:textId="77777777" w:rsidR="002C4E66" w:rsidRDefault="002C4E66" w:rsidP="002C4E66">
      <w:pPr>
        <w:pStyle w:val="BodyText"/>
        <w:numPr>
          <w:ilvl w:val="0"/>
          <w:numId w:val="31"/>
        </w:numPr>
      </w:pPr>
      <w:r>
        <w:t>Australian College of Optometry</w:t>
      </w:r>
    </w:p>
    <w:p w14:paraId="16F1884E" w14:textId="4C3F2C53" w:rsidR="002C4E66" w:rsidRDefault="002C4E66" w:rsidP="002C4E66">
      <w:pPr>
        <w:pStyle w:val="BodyText"/>
        <w:numPr>
          <w:ilvl w:val="0"/>
          <w:numId w:val="31"/>
        </w:numPr>
      </w:pPr>
      <w:r>
        <w:t>Brien Holde</w:t>
      </w:r>
      <w:r w:rsidR="00646185">
        <w:t>n</w:t>
      </w:r>
      <w:r>
        <w:t xml:space="preserve"> Foundation</w:t>
      </w:r>
    </w:p>
    <w:p w14:paraId="4B06D8EC" w14:textId="77777777" w:rsidR="002C4E66" w:rsidRDefault="002C4E66" w:rsidP="002C4E66">
      <w:pPr>
        <w:pStyle w:val="BodyText"/>
        <w:numPr>
          <w:ilvl w:val="0"/>
          <w:numId w:val="31"/>
        </w:numPr>
      </w:pPr>
      <w:r>
        <w:t>Centre for Eye Research Australia</w:t>
      </w:r>
    </w:p>
    <w:p w14:paraId="60BCC59A" w14:textId="77777777" w:rsidR="002C4E66" w:rsidRDefault="002C4E66" w:rsidP="002C4E66">
      <w:pPr>
        <w:pStyle w:val="BodyText"/>
        <w:numPr>
          <w:ilvl w:val="0"/>
          <w:numId w:val="31"/>
        </w:numPr>
      </w:pPr>
      <w:r>
        <w:t>Glaucoma Australia</w:t>
      </w:r>
    </w:p>
    <w:p w14:paraId="44F5860D" w14:textId="77777777" w:rsidR="002C4E66" w:rsidRDefault="002C4E66" w:rsidP="002C4E66">
      <w:pPr>
        <w:pStyle w:val="BodyText"/>
        <w:numPr>
          <w:ilvl w:val="0"/>
          <w:numId w:val="31"/>
        </w:numPr>
      </w:pPr>
      <w:r w:rsidRPr="00322060">
        <w:t>Guide Dogs NSW/ACT</w:t>
      </w:r>
    </w:p>
    <w:p w14:paraId="1A248A26" w14:textId="77777777" w:rsidR="002C4E66" w:rsidRDefault="002C4E66" w:rsidP="002C4E66">
      <w:pPr>
        <w:pStyle w:val="BodyText"/>
        <w:numPr>
          <w:ilvl w:val="0"/>
          <w:numId w:val="31"/>
        </w:numPr>
      </w:pPr>
      <w:r>
        <w:t>Indigenous Eye Health Unit – University of Melbourne</w:t>
      </w:r>
    </w:p>
    <w:p w14:paraId="06D49D17" w14:textId="77777777" w:rsidR="002C4E66" w:rsidRDefault="002C4E66" w:rsidP="002C4E66">
      <w:pPr>
        <w:pStyle w:val="BodyText"/>
        <w:numPr>
          <w:ilvl w:val="0"/>
          <w:numId w:val="31"/>
        </w:numPr>
      </w:pPr>
      <w:r>
        <w:t>Keratoconus Australia</w:t>
      </w:r>
    </w:p>
    <w:p w14:paraId="259B2132" w14:textId="77777777" w:rsidR="002C4E66" w:rsidRDefault="002C4E66" w:rsidP="002C4E66">
      <w:pPr>
        <w:pStyle w:val="BodyText"/>
        <w:numPr>
          <w:ilvl w:val="0"/>
          <w:numId w:val="31"/>
        </w:numPr>
      </w:pPr>
      <w:r>
        <w:t>Macular Disease Foundation of Australia</w:t>
      </w:r>
    </w:p>
    <w:p w14:paraId="4B554A96" w14:textId="77777777" w:rsidR="002C4E66" w:rsidRDefault="002C4E66" w:rsidP="002C4E66">
      <w:pPr>
        <w:pStyle w:val="BodyText"/>
        <w:numPr>
          <w:ilvl w:val="0"/>
          <w:numId w:val="31"/>
        </w:numPr>
      </w:pPr>
      <w:r>
        <w:t>Novartis</w:t>
      </w:r>
    </w:p>
    <w:p w14:paraId="221B4B03" w14:textId="77777777" w:rsidR="002C4E66" w:rsidRDefault="002C4E66" w:rsidP="002C4E66">
      <w:pPr>
        <w:pStyle w:val="BodyText"/>
        <w:numPr>
          <w:ilvl w:val="0"/>
          <w:numId w:val="31"/>
        </w:numPr>
      </w:pPr>
      <w:r>
        <w:t>Optometry Australia</w:t>
      </w:r>
    </w:p>
    <w:p w14:paraId="0C1988DC" w14:textId="77777777" w:rsidR="002C4E66" w:rsidRDefault="002C4E66" w:rsidP="002C4E66">
      <w:pPr>
        <w:pStyle w:val="BodyText"/>
        <w:numPr>
          <w:ilvl w:val="0"/>
          <w:numId w:val="31"/>
        </w:numPr>
      </w:pPr>
      <w:r>
        <w:t>Orthoptics Australia</w:t>
      </w:r>
    </w:p>
    <w:p w14:paraId="4AA4206F" w14:textId="3F5AAE9B" w:rsidR="002C4E66" w:rsidRDefault="002C4E66" w:rsidP="002C4E66">
      <w:pPr>
        <w:pStyle w:val="BodyText"/>
        <w:numPr>
          <w:ilvl w:val="0"/>
          <w:numId w:val="31"/>
        </w:numPr>
      </w:pPr>
      <w:r>
        <w:t>Retina Australia</w:t>
      </w:r>
    </w:p>
    <w:p w14:paraId="14E93FF6" w14:textId="37BB359A" w:rsidR="00646185" w:rsidRDefault="00646185" w:rsidP="00646185">
      <w:pPr>
        <w:pStyle w:val="BodyText"/>
        <w:numPr>
          <w:ilvl w:val="0"/>
          <w:numId w:val="31"/>
        </w:numPr>
      </w:pPr>
      <w:r>
        <w:t>Royal Australian and New Zealand College of Ophthalmologists</w:t>
      </w:r>
    </w:p>
    <w:p w14:paraId="157D2B3A" w14:textId="77777777" w:rsidR="002C4E66" w:rsidRDefault="002C4E66" w:rsidP="002C4E66">
      <w:pPr>
        <w:pStyle w:val="BodyText"/>
        <w:numPr>
          <w:ilvl w:val="0"/>
          <w:numId w:val="31"/>
        </w:numPr>
      </w:pPr>
      <w:r>
        <w:t>Royal Victorian Eye and Ear Hospital</w:t>
      </w:r>
    </w:p>
    <w:p w14:paraId="7DF00EEF" w14:textId="77777777" w:rsidR="002C4E66" w:rsidRDefault="002C4E66" w:rsidP="002C4E66">
      <w:pPr>
        <w:pStyle w:val="BodyText"/>
        <w:numPr>
          <w:ilvl w:val="0"/>
          <w:numId w:val="31"/>
        </w:numPr>
      </w:pPr>
      <w:r>
        <w:t>School of Optometry and Vision Science – University of NSW</w:t>
      </w:r>
    </w:p>
    <w:p w14:paraId="7D79CFDF" w14:textId="77777777" w:rsidR="002C4E66" w:rsidRDefault="002C4E66" w:rsidP="002C4E66">
      <w:pPr>
        <w:pStyle w:val="BodyText"/>
        <w:numPr>
          <w:ilvl w:val="0"/>
          <w:numId w:val="31"/>
        </w:numPr>
      </w:pPr>
      <w:r>
        <w:t>Sight For All</w:t>
      </w:r>
    </w:p>
    <w:p w14:paraId="45289154" w14:textId="77777777" w:rsidR="002C4E66" w:rsidRDefault="002C4E66" w:rsidP="002C4E66">
      <w:pPr>
        <w:pStyle w:val="BodyText"/>
        <w:numPr>
          <w:ilvl w:val="0"/>
          <w:numId w:val="31"/>
        </w:numPr>
      </w:pPr>
      <w:r>
        <w:t>The Fred Hollows Foundation</w:t>
      </w:r>
    </w:p>
    <w:p w14:paraId="405C0BF9" w14:textId="77777777" w:rsidR="002C4E66" w:rsidRDefault="002C4E66" w:rsidP="002C4E66">
      <w:pPr>
        <w:pStyle w:val="BodyText"/>
        <w:numPr>
          <w:ilvl w:val="0"/>
          <w:numId w:val="31"/>
        </w:numPr>
      </w:pPr>
      <w:r>
        <w:t>Vision Australia</w:t>
      </w:r>
    </w:p>
    <w:p w14:paraId="48621FED" w14:textId="77777777" w:rsidR="0033731A" w:rsidRPr="005C5F51" w:rsidRDefault="0033731A" w:rsidP="005C5F51">
      <w:pPr>
        <w:pStyle w:val="BodyText"/>
      </w:pPr>
    </w:p>
    <w:sectPr w:rsidR="0033731A" w:rsidRPr="005C5F51" w:rsidSect="00F56D17">
      <w:pgSz w:w="11906" w:h="16838" w:code="9"/>
      <w:pgMar w:top="720" w:right="1133" w:bottom="567" w:left="72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37800A" w14:textId="77777777" w:rsidR="00900674" w:rsidRDefault="00900674" w:rsidP="00185154">
      <w:r>
        <w:separator/>
      </w:r>
    </w:p>
    <w:p w14:paraId="0237A86F" w14:textId="77777777" w:rsidR="00900674" w:rsidRDefault="00900674"/>
  </w:endnote>
  <w:endnote w:type="continuationSeparator" w:id="0">
    <w:p w14:paraId="7E7DE870" w14:textId="77777777" w:rsidR="00900674" w:rsidRDefault="00900674" w:rsidP="00185154">
      <w:r>
        <w:continuationSeparator/>
      </w:r>
    </w:p>
    <w:p w14:paraId="3F4B0D42" w14:textId="77777777" w:rsidR="00900674" w:rsidRDefault="009006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NeueLTStd-Lt">
    <w:altName w:val="Yu Gothic"/>
    <w:panose1 w:val="00000000000000000000"/>
    <w:charset w:val="80"/>
    <w:family w:val="swiss"/>
    <w:notTrueType/>
    <w:pitch w:val="default"/>
    <w:sig w:usb0="00000003" w:usb1="08070000" w:usb2="00000010" w:usb3="00000000" w:csb0="0002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val="0"/>
      </w:rPr>
      <w:id w:val="1022673444"/>
      <w:docPartObj>
        <w:docPartGallery w:val="Page Numbers (Bottom of Page)"/>
        <w:docPartUnique/>
      </w:docPartObj>
    </w:sdtPr>
    <w:sdtEndPr>
      <w:rPr>
        <w:noProof/>
      </w:rPr>
    </w:sdtEndPr>
    <w:sdtContent>
      <w:p w14:paraId="47CB9E2C" w14:textId="77777777" w:rsidR="00900674" w:rsidRDefault="00900674">
        <w:pPr>
          <w:pStyle w:val="Footer"/>
          <w:jc w:val="right"/>
        </w:pPr>
        <w:r>
          <w:rPr>
            <w:noProof w:val="0"/>
          </w:rPr>
          <w:fldChar w:fldCharType="begin"/>
        </w:r>
        <w:r>
          <w:instrText xml:space="preserve"> PAGE   \* MERGEFORMAT </w:instrText>
        </w:r>
        <w:r>
          <w:rPr>
            <w:noProof w:val="0"/>
          </w:rPr>
          <w:fldChar w:fldCharType="separate"/>
        </w:r>
        <w:r>
          <w:t>2</w:t>
        </w:r>
        <w:r>
          <w:fldChar w:fldCharType="end"/>
        </w:r>
      </w:p>
    </w:sdtContent>
  </w:sdt>
  <w:p w14:paraId="697FEB74" w14:textId="77777777" w:rsidR="00900674" w:rsidRDefault="009006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08B182" w14:textId="77777777" w:rsidR="00900674" w:rsidRPr="005009F3" w:rsidRDefault="00900674" w:rsidP="005009F3">
    <w:pPr>
      <w:pStyle w:val="Footer"/>
      <w:tabs>
        <w:tab w:val="clear" w:pos="567"/>
        <w:tab w:val="clear" w:pos="9639"/>
      </w:tabs>
      <w:ind w:left="-142" w:right="-143"/>
      <w:jc w:val="center"/>
      <w:rPr>
        <w:color w:val="004B8D" w:themeColor="accent1"/>
      </w:rPr>
    </w:pPr>
    <w:r w:rsidRPr="005009F3">
      <w:rPr>
        <w:color w:val="004B8D" w:themeColor="accent1"/>
      </w:rPr>
      <w:t>National body working in partnership to prevent avoidable blindness and improve vision care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48795C" w14:textId="77777777" w:rsidR="00900674" w:rsidRDefault="00900674" w:rsidP="00185154">
      <w:r>
        <w:separator/>
      </w:r>
    </w:p>
    <w:p w14:paraId="7864AD8A" w14:textId="77777777" w:rsidR="00900674" w:rsidRDefault="00900674"/>
  </w:footnote>
  <w:footnote w:type="continuationSeparator" w:id="0">
    <w:p w14:paraId="6056E95F" w14:textId="77777777" w:rsidR="00900674" w:rsidRDefault="00900674" w:rsidP="00185154">
      <w:r>
        <w:continuationSeparator/>
      </w:r>
    </w:p>
    <w:p w14:paraId="0143D043" w14:textId="77777777" w:rsidR="00900674" w:rsidRDefault="00900674"/>
  </w:footnote>
  <w:footnote w:id="1">
    <w:p w14:paraId="5EBFA3B7" w14:textId="77777777" w:rsidR="00900674" w:rsidRDefault="00900674">
      <w:pPr>
        <w:pStyle w:val="FootnoteText"/>
      </w:pPr>
      <w:r>
        <w:rPr>
          <w:rStyle w:val="FootnoteReference"/>
        </w:rPr>
        <w:footnoteRef/>
      </w:r>
      <w:r>
        <w:t xml:space="preserve"> </w:t>
      </w:r>
      <w:r w:rsidRPr="00E756DF">
        <w:rPr>
          <w:highlight w:val="yellow"/>
        </w:rPr>
        <w:t>New footnote: Amblyopia and abnormal eye movements can manifest in the early years, and should be referred for follow up.</w:t>
      </w:r>
      <w:r>
        <w:rPr>
          <w:highlight w:val="yellow"/>
        </w:rPr>
        <w:t xml:space="preserve"> Myopia (short sightedness) can also develop in childhood, typically from the age of 5 onwards.</w:t>
      </w:r>
      <w:r>
        <w:t xml:space="preserve"> </w:t>
      </w:r>
    </w:p>
  </w:footnote>
  <w:footnote w:id="2">
    <w:p w14:paraId="78F89A77" w14:textId="77777777" w:rsidR="00900674" w:rsidRDefault="00900674">
      <w:pPr>
        <w:pStyle w:val="FootnoteText"/>
      </w:pPr>
      <w:r>
        <w:rPr>
          <w:rStyle w:val="FootnoteReference"/>
        </w:rPr>
        <w:footnoteRef/>
      </w:r>
      <w:r>
        <w:t xml:space="preserve"> </w:t>
      </w:r>
      <w:hyperlink r:id="rId1" w:history="1">
        <w:r w:rsidRPr="00304E7C">
          <w:rPr>
            <w:rStyle w:val="Hyperlink"/>
          </w:rPr>
          <w:t>https://ranzco.edu/wp-content/uploads/2020/08/Patient-Screening-and-Referral-Pathway-and-Clinical-Notes-for-Diabetic-Retinopathy-Management-in-Australia-2019.pdf</w:t>
        </w:r>
      </w:hyperlink>
    </w:p>
  </w:footnote>
  <w:footnote w:id="3">
    <w:p w14:paraId="744AB226" w14:textId="77777777" w:rsidR="00900674" w:rsidRDefault="00900674">
      <w:pPr>
        <w:pStyle w:val="FootnoteText"/>
      </w:pPr>
      <w:r>
        <w:rPr>
          <w:rStyle w:val="FootnoteReference"/>
        </w:rPr>
        <w:footnoteRef/>
      </w:r>
      <w:r>
        <w:t xml:space="preserve"> </w:t>
      </w:r>
      <w:hyperlink r:id="rId2" w:history="1">
        <w:r w:rsidRPr="00304E7C">
          <w:rPr>
            <w:rStyle w:val="Hyperlink"/>
          </w:rPr>
          <w:t>https://ranzco.edu/wp-content/uploads/2020/11/RANZCO-Referral-pathway-for-AMD-management.pdf</w:t>
        </w:r>
      </w:hyperlink>
      <w:r>
        <w:t xml:space="preserve"> </w:t>
      </w:r>
    </w:p>
  </w:footnote>
  <w:footnote w:id="4">
    <w:p w14:paraId="70A163CC" w14:textId="77777777" w:rsidR="00900674" w:rsidRDefault="00900674" w:rsidP="00076352">
      <w:pPr>
        <w:pStyle w:val="FootnoteText"/>
      </w:pPr>
      <w:r>
        <w:rPr>
          <w:rStyle w:val="FootnoteReference"/>
        </w:rPr>
        <w:footnoteRef/>
      </w:r>
      <w:r>
        <w:t xml:space="preserve"> </w:t>
      </w:r>
      <w:hyperlink r:id="rId3" w:history="1">
        <w:r w:rsidRPr="00304E7C">
          <w:rPr>
            <w:rStyle w:val="Hyperlink"/>
          </w:rPr>
          <w:t>https://ranzco.edu/home/policies-and-guidelines/referral-pathway/</w:t>
        </w:r>
      </w:hyperlink>
      <w:r>
        <w:t xml:space="preserve"> </w:t>
      </w:r>
    </w:p>
  </w:footnote>
  <w:footnote w:id="5">
    <w:p w14:paraId="7A7E7D05" w14:textId="77777777" w:rsidR="00900674" w:rsidRDefault="00900674" w:rsidP="00622E82">
      <w:pPr>
        <w:pStyle w:val="FootnoteText"/>
      </w:pPr>
      <w:r>
        <w:rPr>
          <w:rStyle w:val="FootnoteReference"/>
        </w:rPr>
        <w:footnoteRef/>
      </w:r>
      <w:r>
        <w:t xml:space="preserve"> </w:t>
      </w:r>
      <w:hyperlink r:id="rId4" w:history="1">
        <w:r w:rsidRPr="00304E7C">
          <w:rPr>
            <w:rStyle w:val="Hyperlink"/>
          </w:rPr>
          <w:t>https://ranzco.edu/home/policies-and-guidelines/referral-pathway/</w:t>
        </w:r>
      </w:hyperlink>
      <w:r>
        <w:t xml:space="preserve"> </w:t>
      </w:r>
    </w:p>
  </w:footnote>
  <w:footnote w:id="6">
    <w:p w14:paraId="618F2904" w14:textId="77777777" w:rsidR="00900674" w:rsidRDefault="00900674" w:rsidP="005C0C10">
      <w:pPr>
        <w:pStyle w:val="FootnoteText"/>
      </w:pPr>
      <w:r>
        <w:rPr>
          <w:rStyle w:val="FootnoteReference"/>
        </w:rPr>
        <w:footnoteRef/>
      </w:r>
      <w:r>
        <w:t xml:space="preserve"> American Academy of Ophthalmology, Preferred Practice Pattern. Primary Open-Angle Glaucoma. 2015. Available at </w:t>
      </w:r>
      <w:hyperlink r:id="rId5" w:history="1">
        <w:r>
          <w:rPr>
            <w:rStyle w:val="Hyperlink"/>
          </w:rPr>
          <w:t>https://www.aao.org/preferred-practice-pattern/primary-open-angle-glaucoma-ppp-2015</w:t>
        </w:r>
      </w:hyperlink>
      <w:r>
        <w:t xml:space="preserve"> (Accessed 19 October 2020) </w:t>
      </w:r>
    </w:p>
  </w:footnote>
  <w:footnote w:id="7">
    <w:p w14:paraId="4C257690" w14:textId="77777777" w:rsidR="00900674" w:rsidRDefault="00900674">
      <w:pPr>
        <w:pStyle w:val="FootnoteText"/>
      </w:pPr>
      <w:r>
        <w:rPr>
          <w:rStyle w:val="FootnoteReference"/>
        </w:rPr>
        <w:footnoteRef/>
      </w:r>
      <w:r>
        <w:t xml:space="preserve"> </w:t>
      </w:r>
      <w:hyperlink r:id="rId6" w:history="1">
        <w:r w:rsidRPr="00304E7C">
          <w:rPr>
            <w:rStyle w:val="Hyperlink"/>
          </w:rPr>
          <w:t>https://ranzco.edu/wp-content/uploads/2019/06/RANZCO-Referral-Pathway-for-Glaucoma-Management.pdf</w:t>
        </w:r>
      </w:hyperlink>
      <w:r>
        <w:t xml:space="preserve"> </w:t>
      </w:r>
    </w:p>
  </w:footnote>
  <w:footnote w:id="8">
    <w:p w14:paraId="544252AB" w14:textId="77777777" w:rsidR="00900674" w:rsidRPr="00FA0A65" w:rsidRDefault="00900674">
      <w:pPr>
        <w:pStyle w:val="FootnoteText"/>
      </w:pPr>
      <w:r>
        <w:rPr>
          <w:rStyle w:val="FootnoteReference"/>
        </w:rPr>
        <w:footnoteRef/>
      </w:r>
      <w:r>
        <w:t xml:space="preserve"> American Academy of Ophthalmology, Preferred Practice Pattern. Primary Open-Angle Glaucoma. 2015. Available at </w:t>
      </w:r>
      <w:hyperlink r:id="rId7" w:history="1">
        <w:r>
          <w:rPr>
            <w:rStyle w:val="Hyperlink"/>
          </w:rPr>
          <w:t>https://www.aao.org/preferred-practice-pattern/primary-open-angle-glaucoma-ppp-2015</w:t>
        </w:r>
      </w:hyperlink>
      <w:r>
        <w:t xml:space="preserve"> (Accessed 19 October 2020)</w:t>
      </w:r>
    </w:p>
  </w:footnote>
  <w:footnote w:id="9">
    <w:p w14:paraId="0F6A5A97" w14:textId="77777777" w:rsidR="00900674" w:rsidRDefault="00900674">
      <w:pPr>
        <w:pStyle w:val="FootnoteText"/>
      </w:pPr>
      <w:r>
        <w:rPr>
          <w:rStyle w:val="FootnoteReference"/>
        </w:rPr>
        <w:footnoteRef/>
      </w:r>
      <w:r>
        <w:t xml:space="preserve"> </w:t>
      </w:r>
      <w:hyperlink r:id="rId8" w:history="1">
        <w:r w:rsidRPr="00304E7C">
          <w:rPr>
            <w:rStyle w:val="Hyperlink"/>
          </w:rPr>
          <w:t>https://ranzco.edu/wp-content/uploads/2019/06/RANZCO-Referral-Pathway-for-Glaucoma-Management.pdf</w:t>
        </w:r>
      </w:hyperlink>
    </w:p>
  </w:footnote>
  <w:footnote w:id="10">
    <w:p w14:paraId="7E221EFB" w14:textId="77777777" w:rsidR="00900674" w:rsidRDefault="00900674" w:rsidP="00B46712">
      <w:pPr>
        <w:pStyle w:val="FootnoteText"/>
      </w:pPr>
      <w:r>
        <w:rPr>
          <w:rStyle w:val="FootnoteReference"/>
        </w:rPr>
        <w:footnoteRef/>
      </w:r>
      <w:r>
        <w:t xml:space="preserve"> An Evidence-Based Guideline for the Frequency of Optometric Eye Examinations: </w:t>
      </w:r>
      <w:hyperlink r:id="rId9" w:history="1">
        <w:r w:rsidRPr="0059253D">
          <w:rPr>
            <w:rStyle w:val="Hyperlink"/>
          </w:rPr>
          <w:t>https://pdfs.semanticscholar.org/7378/29031b22c94bb6baa62ac08a12d0913c3a30.pdf</w:t>
        </w:r>
      </w:hyperlink>
      <w:r>
        <w:t xml:space="preserve"> </w:t>
      </w:r>
    </w:p>
  </w:footnote>
  <w:footnote w:id="11">
    <w:p w14:paraId="7E0B7200" w14:textId="77777777" w:rsidR="00900674" w:rsidRPr="00FC1080" w:rsidRDefault="00900674" w:rsidP="00FC1080">
      <w:pPr>
        <w:pStyle w:val="BodyText"/>
        <w:rPr>
          <w:rFonts w:cstheme="minorHAnsi"/>
          <w:sz w:val="20"/>
          <w:szCs w:val="20"/>
        </w:rPr>
      </w:pPr>
      <w:r w:rsidRPr="00FC1080">
        <w:rPr>
          <w:rStyle w:val="FootnoteReference"/>
          <w:rFonts w:cstheme="minorHAnsi"/>
          <w:sz w:val="20"/>
          <w:szCs w:val="20"/>
        </w:rPr>
        <w:footnoteRef/>
      </w:r>
      <w:r w:rsidRPr="00FC1080">
        <w:rPr>
          <w:rFonts w:cstheme="minorHAnsi"/>
          <w:sz w:val="20"/>
          <w:szCs w:val="20"/>
        </w:rPr>
        <w:t xml:space="preserve"> Perceptions of Older People Regarding Their Vision and Incident Causation</w:t>
      </w:r>
      <w:r>
        <w:rPr>
          <w:rFonts w:cstheme="minorHAnsi"/>
          <w:sz w:val="20"/>
          <w:szCs w:val="20"/>
        </w:rPr>
        <w:t xml:space="preserve"> </w:t>
      </w:r>
      <w:hyperlink r:id="rId10" w:history="1">
        <w:r w:rsidRPr="0059253D">
          <w:rPr>
            <w:rStyle w:val="Hyperlink"/>
            <w:rFonts w:cstheme="minorHAnsi"/>
            <w:sz w:val="20"/>
            <w:szCs w:val="20"/>
          </w:rPr>
          <w:t>https://pubmed.ncbi.nlm.nih.gov/26367341/</w:t>
        </w:r>
      </w:hyperlink>
      <w:r w:rsidRPr="00FC1080">
        <w:rPr>
          <w:rFonts w:cstheme="minorHAnsi"/>
          <w:sz w:val="20"/>
          <w:szCs w:val="20"/>
        </w:rPr>
        <w:t xml:space="preserve"> </w:t>
      </w:r>
    </w:p>
  </w:footnote>
  <w:footnote w:id="12">
    <w:p w14:paraId="18215CB8" w14:textId="77777777" w:rsidR="00900674" w:rsidRDefault="00900674" w:rsidP="006619CA">
      <w:pPr>
        <w:pStyle w:val="FootnoteText"/>
      </w:pPr>
      <w:r>
        <w:rPr>
          <w:rStyle w:val="FootnoteReference"/>
        </w:rPr>
        <w:footnoteRef/>
      </w:r>
      <w:r>
        <w:t xml:space="preserve"> Royal Australian and New Zealand College of Ophthalmologists. RANZCO Referral Pathway for AMD Management. Available at </w:t>
      </w:r>
      <w:hyperlink r:id="rId11" w:history="1">
        <w:r w:rsidRPr="00F506F4">
          <w:rPr>
            <w:rStyle w:val="Hyperlink"/>
          </w:rPr>
          <w:t>https://ranzco.edu/wp-content/uploads/2020/01/080120-RANZCO-Referral-pathway-for-AMD-management-revised.pdf</w:t>
        </w:r>
      </w:hyperlink>
      <w:r>
        <w:t xml:space="preserve"> (Assessed 19 October 2020)</w:t>
      </w:r>
    </w:p>
  </w:footnote>
  <w:footnote w:id="13">
    <w:p w14:paraId="52EEB5EA" w14:textId="77777777" w:rsidR="00900674" w:rsidRDefault="00900674" w:rsidP="006619CA">
      <w:pPr>
        <w:pStyle w:val="FootnoteText"/>
        <w:rPr>
          <w:rFonts w:ascii="Arial" w:hAnsi="Arial" w:cs="Arial"/>
          <w:color w:val="333333"/>
          <w:shd w:val="clear" w:color="auto" w:fill="FFFFFF"/>
        </w:rPr>
      </w:pPr>
      <w:r>
        <w:rPr>
          <w:rStyle w:val="FootnoteReference"/>
        </w:rPr>
        <w:footnoteRef/>
      </w:r>
      <w:r>
        <w:t xml:space="preserve"> </w:t>
      </w:r>
      <w:r>
        <w:rPr>
          <w:rFonts w:ascii="Arial" w:hAnsi="Arial" w:cs="Arial"/>
          <w:color w:val="333333"/>
          <w:shd w:val="clear" w:color="auto" w:fill="FFFFFF"/>
        </w:rPr>
        <w:t xml:space="preserve">American Optometric Association. Senior: Over 60 Years of Age. St. Louis, MO: American Optometric Association; 2014. Accessed </w:t>
      </w:r>
      <w:hyperlink r:id="rId12" w:history="1">
        <w:r w:rsidRPr="00F506F4">
          <w:rPr>
            <w:rStyle w:val="Hyperlink"/>
            <w:rFonts w:ascii="Arial" w:hAnsi="Arial" w:cs="Arial"/>
            <w:shd w:val="clear" w:color="auto" w:fill="FFFFFF"/>
          </w:rPr>
          <w:t>https://www.aoa.org/healthy-eyes/eye-health-for-life/senior-vision?sso=y</w:t>
        </w:r>
      </w:hyperlink>
    </w:p>
    <w:p w14:paraId="2AC5BF41" w14:textId="77777777" w:rsidR="00900674" w:rsidRDefault="00900674" w:rsidP="006619CA">
      <w:pPr>
        <w:pStyle w:val="FootnoteText"/>
      </w:pPr>
      <w:r>
        <w:rPr>
          <w:rFonts w:ascii="Arial" w:hAnsi="Arial" w:cs="Arial"/>
          <w:color w:val="333333"/>
          <w:shd w:val="clear" w:color="auto" w:fill="FFFFFF"/>
        </w:rPr>
        <w:t xml:space="preserve">(Assessed 19 October 2020). </w:t>
      </w:r>
    </w:p>
  </w:footnote>
  <w:footnote w:id="14">
    <w:p w14:paraId="7F46F401" w14:textId="77777777" w:rsidR="00900674" w:rsidRDefault="00900674" w:rsidP="006619CA">
      <w:pPr>
        <w:pStyle w:val="FootnoteText"/>
      </w:pPr>
      <w:r>
        <w:rPr>
          <w:rStyle w:val="FootnoteReference"/>
        </w:rPr>
        <w:footnoteRef/>
      </w:r>
      <w:r>
        <w:t xml:space="preserve"> </w:t>
      </w:r>
      <w:r>
        <w:rPr>
          <w:rFonts w:ascii="Arial" w:hAnsi="Arial" w:cs="Arial"/>
          <w:color w:val="333333"/>
          <w:shd w:val="clear" w:color="auto" w:fill="FFFFFF"/>
        </w:rPr>
        <w:t>Feder RS, Olsen TW, Prum BE Jr, et al. Comprehensive Adult Medical Eye Evaluation Preferred Practice Pattern(®) Guidelines. </w:t>
      </w:r>
      <w:r>
        <w:rPr>
          <w:rStyle w:val="Emphasis"/>
          <w:rFonts w:ascii="Arial" w:hAnsi="Arial" w:cs="Arial"/>
          <w:color w:val="333333"/>
          <w:shd w:val="clear" w:color="auto" w:fill="FFFFFF"/>
        </w:rPr>
        <w:t>Ophthalmology</w:t>
      </w:r>
      <w:r>
        <w:rPr>
          <w:rFonts w:ascii="Arial" w:hAnsi="Arial" w:cs="Arial"/>
          <w:color w:val="333333"/>
          <w:shd w:val="clear" w:color="auto" w:fill="FFFFFF"/>
        </w:rPr>
        <w:t>. 2016;123(1):P209-36.</w:t>
      </w:r>
    </w:p>
  </w:footnote>
  <w:footnote w:id="15">
    <w:p w14:paraId="600BD0EF" w14:textId="77777777" w:rsidR="00900674" w:rsidRDefault="00900674" w:rsidP="006619CA">
      <w:pPr>
        <w:pStyle w:val="FootnoteText"/>
      </w:pPr>
      <w:r>
        <w:rPr>
          <w:rStyle w:val="FootnoteReference"/>
        </w:rPr>
        <w:footnoteRef/>
      </w:r>
      <w:r>
        <w:t xml:space="preserve"> </w:t>
      </w:r>
      <w:r>
        <w:rPr>
          <w:rFonts w:ascii="Arial" w:hAnsi="Arial" w:cs="Arial"/>
          <w:color w:val="333333"/>
          <w:shd w:val="clear" w:color="auto" w:fill="FFFFFF"/>
        </w:rPr>
        <w:t>American Optometric Association. Comprehensive Adult Eye and Vision Examination.</w:t>
      </w:r>
      <w:r w:rsidRPr="006A254B">
        <w:t xml:space="preserve"> </w:t>
      </w:r>
      <w:r>
        <w:t xml:space="preserve">Available at </w:t>
      </w:r>
      <w:hyperlink r:id="rId13" w:history="1">
        <w:r w:rsidRPr="00F506F4">
          <w:rPr>
            <w:rStyle w:val="Hyperlink"/>
          </w:rPr>
          <w:t>https://www.aoa.org/AOA/Documents/Practice%20Management/Clinical%20Guidelines/EBO%20Guidelines/Comprehensive%20Adult%20Eye%20and%20Vision%20Exam.pdf</w:t>
        </w:r>
      </w:hyperlink>
      <w:r>
        <w:t xml:space="preserve"> (Assessed 19 October 2020)</w:t>
      </w:r>
    </w:p>
  </w:footnote>
  <w:footnote w:id="16">
    <w:p w14:paraId="405B435B" w14:textId="77777777" w:rsidR="00900674" w:rsidRDefault="00900674" w:rsidP="006619CA">
      <w:pPr>
        <w:pStyle w:val="FootnoteText"/>
      </w:pPr>
      <w:r>
        <w:rPr>
          <w:rStyle w:val="FootnoteReference"/>
        </w:rPr>
        <w:footnoteRef/>
      </w:r>
      <w:r>
        <w:t xml:space="preserve"> </w:t>
      </w:r>
      <w:hyperlink r:id="rId14" w:history="1">
        <w:r w:rsidRPr="00F506F4">
          <w:rPr>
            <w:rStyle w:val="Hyperlink"/>
          </w:rPr>
          <w:t>https://www.nhs.uk/common-health-questions/nhs-services-and-treatments/how-often-can-i-have-a-free-nhs-eye-test/</w:t>
        </w:r>
      </w:hyperlink>
    </w:p>
  </w:footnote>
  <w:footnote w:id="17">
    <w:p w14:paraId="0833CE6E" w14:textId="77777777" w:rsidR="00900674" w:rsidRDefault="00900674" w:rsidP="006619CA">
      <w:pPr>
        <w:pStyle w:val="FootnoteText"/>
      </w:pPr>
      <w:r w:rsidRPr="005B2766">
        <w:rPr>
          <w:rStyle w:val="FootnoteReference"/>
        </w:rPr>
        <w:footnoteRef/>
      </w:r>
      <w:r w:rsidRPr="00B562E1">
        <w:rPr>
          <w:rFonts w:asciiTheme="majorHAnsi" w:eastAsia="HelveticaNeueLTStd-Lt" w:hAnsiTheme="majorHAnsi" w:cstheme="majorHAnsi"/>
        </w:rPr>
        <w:t>Department of Health. Medicare Benefits Schedule. Canberra: MBS Online, 2020. Available</w:t>
      </w:r>
      <w:r w:rsidRPr="005B2766">
        <w:t xml:space="preserve"> </w:t>
      </w:r>
      <w:hyperlink r:id="rId15" w:history="1">
        <w:r w:rsidRPr="005036D4">
          <w:rPr>
            <w:rStyle w:val="Hyperlink"/>
          </w:rPr>
          <w:t>http://www9.health.gov.au/mbs/fullDisplay.cfm?type=item&amp;q=10910</w:t>
        </w:r>
      </w:hyperlink>
      <w:r w:rsidRPr="005B2766">
        <w:t xml:space="preserve"> (Assessed </w:t>
      </w:r>
      <w:r w:rsidRPr="005036D4">
        <w:t>19 October 2020)</w:t>
      </w:r>
    </w:p>
  </w:footnote>
  <w:footnote w:id="18">
    <w:p w14:paraId="468319AB" w14:textId="77777777" w:rsidR="00900674" w:rsidRDefault="00900674" w:rsidP="006619CA">
      <w:pPr>
        <w:pStyle w:val="FootnoteText"/>
      </w:pPr>
      <w:r>
        <w:rPr>
          <w:rStyle w:val="FootnoteReference"/>
        </w:rPr>
        <w:footnoteRef/>
      </w:r>
      <w:r>
        <w:t xml:space="preserve"> Indigenous Eye Health Unit, University of Melbourne. “Check Today, See Tomorrow” Resources. Available at </w:t>
      </w:r>
      <w:hyperlink r:id="rId16" w:history="1">
        <w:r w:rsidRPr="00F506F4">
          <w:rPr>
            <w:rStyle w:val="Hyperlink"/>
          </w:rPr>
          <w:t>https://mspgh.unimelb.edu.au/__data/assets/pdf_file/0005/2555600/A4-DR-Rdmap-resource-2017.10.05.pdf</w:t>
        </w:r>
      </w:hyperlink>
      <w:r>
        <w:t xml:space="preserve"> (Assessed 19 October 2020)</w:t>
      </w:r>
    </w:p>
  </w:footnote>
  <w:footnote w:id="19">
    <w:p w14:paraId="2E7C8871" w14:textId="77777777" w:rsidR="00900674" w:rsidRDefault="00900674" w:rsidP="0086423E">
      <w:pPr>
        <w:pStyle w:val="FootnoteText"/>
      </w:pPr>
      <w:r>
        <w:rPr>
          <w:rStyle w:val="FootnoteReference"/>
        </w:rPr>
        <w:footnoteRef/>
      </w:r>
      <w:r>
        <w:t xml:space="preserve"> </w:t>
      </w:r>
      <w:hyperlink r:id="rId17" w:history="1">
        <w:r w:rsidRPr="00304E7C">
          <w:rPr>
            <w:rStyle w:val="Hyperlink"/>
          </w:rPr>
          <w:t>https://ranzco.edu/wp-content/uploads/2020/08/Patient-Screening-and-Referral-Pathway-and-Clinical-Notes-for-Diabetic-Retinopathy-Management-in-Australia-2019.pdf</w:t>
        </w:r>
      </w:hyperlink>
      <w:r>
        <w:t xml:space="preserve"> </w:t>
      </w:r>
    </w:p>
  </w:footnote>
  <w:footnote w:id="20">
    <w:p w14:paraId="7A8B304A" w14:textId="77777777" w:rsidR="00900674" w:rsidRDefault="00900674" w:rsidP="0086423E">
      <w:pPr>
        <w:pStyle w:val="FootnoteText"/>
      </w:pPr>
      <w:r>
        <w:rPr>
          <w:rStyle w:val="FootnoteReference"/>
        </w:rPr>
        <w:footnoteRef/>
      </w:r>
      <w:r>
        <w:t xml:space="preserve"> </w:t>
      </w:r>
      <w:r w:rsidRPr="0086423E">
        <w:rPr>
          <w:rFonts w:asciiTheme="majorHAnsi" w:hAnsiTheme="majorHAnsi" w:cstheme="majorHAnsi"/>
          <w:color w:val="212121"/>
          <w:shd w:val="clear" w:color="auto" w:fill="FFFFFF"/>
        </w:rPr>
        <w:t>Wilkinson CP, Ferris FL 3rd, Klein RE, Lee PP, Agardh CD, Davis M, Dills D, Kampik A, Pararajasegaram R, Verdaguer JT; Global Diabetic Retinopathy Project Group. Proposed international clinical diabetic retinopathy and diabetic macular edema disease severity scales. Ophthalmology. 2003 Sep;110(9):1677-82. doi: 10.1016/S0161-6420(03)00475-5. PMID: 13129861.</w:t>
      </w:r>
    </w:p>
  </w:footnote>
  <w:footnote w:id="21">
    <w:p w14:paraId="48C86D89" w14:textId="77777777" w:rsidR="00900674" w:rsidRDefault="00900674" w:rsidP="0086423E">
      <w:pPr>
        <w:pStyle w:val="FootnoteText"/>
      </w:pPr>
      <w:r>
        <w:rPr>
          <w:rStyle w:val="FootnoteReference"/>
        </w:rPr>
        <w:footnoteRef/>
      </w:r>
      <w:r>
        <w:t xml:space="preserve"> </w:t>
      </w:r>
      <w:hyperlink r:id="rId18" w:history="1">
        <w:r w:rsidRPr="00304E7C">
          <w:rPr>
            <w:rStyle w:val="Hyperlink"/>
          </w:rPr>
          <w:t>https://ranzco.edu/wp-content/uploads/2020/08/Patient-Screening-and-Referral-Pathway-and-Clinical-Notes-for-Diabetic-Retinopathy-Management-in-Australia-2019.pdf</w:t>
        </w:r>
      </w:hyperlink>
      <w:r>
        <w:t xml:space="preserve"> (p6). </w:t>
      </w:r>
    </w:p>
  </w:footnote>
  <w:footnote w:id="22">
    <w:p w14:paraId="4C1EF4EA" w14:textId="77777777" w:rsidR="00900674" w:rsidRDefault="00900674" w:rsidP="00E61830">
      <w:pPr>
        <w:pStyle w:val="FootnoteText"/>
      </w:pPr>
      <w:r>
        <w:rPr>
          <w:rStyle w:val="FootnoteReference"/>
        </w:rPr>
        <w:footnoteRef/>
      </w:r>
      <w:r>
        <w:t xml:space="preserve"> </w:t>
      </w:r>
      <w:hyperlink r:id="rId19" w:history="1">
        <w:r w:rsidRPr="00304E7C">
          <w:rPr>
            <w:rStyle w:val="Hyperlink"/>
          </w:rPr>
          <w:t>https://ranzco.edu/wp-content/uploads/2020/08/Patient-Screening-and-Referral-Pathway-and-Clinical-Notes-for-Diabetic-Retinopathy-Management-in-Australia-2019.pdf</w:t>
        </w:r>
      </w:hyperlink>
    </w:p>
  </w:footnote>
  <w:footnote w:id="23">
    <w:p w14:paraId="5AA68E2C" w14:textId="77777777" w:rsidR="00900674" w:rsidRDefault="00900674" w:rsidP="006619CA">
      <w:pPr>
        <w:pStyle w:val="FootnoteText"/>
      </w:pPr>
      <w:r>
        <w:rPr>
          <w:rStyle w:val="FootnoteReference"/>
        </w:rPr>
        <w:footnoteRef/>
      </w:r>
      <w:r>
        <w:t xml:space="preserve"> The Royal Australian College of General Practitioners. Management of type 2 diabetes: A handbook for general practice. East Melbourne, Vic: RACGP, 2020 (page 76).</w:t>
      </w:r>
    </w:p>
  </w:footnote>
  <w:footnote w:id="24">
    <w:p w14:paraId="42A90DAB" w14:textId="77777777" w:rsidR="00900674" w:rsidRDefault="00900674">
      <w:pPr>
        <w:pStyle w:val="FootnoteText"/>
      </w:pPr>
      <w:r>
        <w:rPr>
          <w:rStyle w:val="FootnoteReference"/>
        </w:rPr>
        <w:footnoteRef/>
      </w:r>
      <w:r>
        <w:t xml:space="preserve"> </w:t>
      </w:r>
      <w:hyperlink r:id="rId20" w:history="1">
        <w:r w:rsidRPr="0059253D">
          <w:rPr>
            <w:rStyle w:val="Hyperlink"/>
          </w:rPr>
          <w:t>https://pubmed.ncbi.nlm.nih.gov/26367341/</w:t>
        </w:r>
      </w:hyperlink>
      <w:r>
        <w:t xml:space="preserve"> </w:t>
      </w:r>
    </w:p>
  </w:footnote>
  <w:footnote w:id="25">
    <w:p w14:paraId="6A7E313C" w14:textId="77777777" w:rsidR="00900674" w:rsidRDefault="00900674">
      <w:pPr>
        <w:pStyle w:val="FootnoteText"/>
      </w:pPr>
      <w:r>
        <w:rPr>
          <w:rStyle w:val="FootnoteReference"/>
        </w:rPr>
        <w:footnoteRef/>
      </w:r>
      <w:r>
        <w:t xml:space="preserve"> </w:t>
      </w:r>
      <w:hyperlink r:id="rId21" w:history="1">
        <w:r w:rsidRPr="0059253D">
          <w:rPr>
            <w:rStyle w:val="Hyperlink"/>
          </w:rPr>
          <w:t>https://pubmed.ncbi.nlm.nih.gov/24400653/</w:t>
        </w:r>
      </w:hyperlink>
      <w:r>
        <w:t xml:space="preserve"> </w:t>
      </w:r>
    </w:p>
  </w:footnote>
  <w:footnote w:id="26">
    <w:p w14:paraId="0633BC04" w14:textId="77777777" w:rsidR="00900674" w:rsidRDefault="00900674" w:rsidP="00622E82">
      <w:pPr>
        <w:pStyle w:val="FootnoteText"/>
      </w:pPr>
      <w:r>
        <w:rPr>
          <w:rStyle w:val="FootnoteReference"/>
        </w:rPr>
        <w:footnoteRef/>
      </w:r>
      <w:r>
        <w:t xml:space="preserve"> </w:t>
      </w:r>
      <w:hyperlink r:id="rId22" w:history="1">
        <w:r w:rsidRPr="00304E7C">
          <w:rPr>
            <w:rStyle w:val="Hyperlink"/>
          </w:rPr>
          <w:t>https://ranzco.edu/home/policies-and-guidelines/referral-pathway/</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066400" w14:textId="77777777" w:rsidR="00900674" w:rsidRDefault="00900674" w:rsidP="00584196">
    <w:pPr>
      <w:pStyle w:val="Header"/>
      <w:jc w:val="right"/>
    </w:pPr>
  </w:p>
  <w:p w14:paraId="19371D0F" w14:textId="77777777" w:rsidR="00900674" w:rsidRDefault="00900674" w:rsidP="0058419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846E2"/>
    <w:multiLevelType w:val="hybridMultilevel"/>
    <w:tmpl w:val="20D85480"/>
    <w:lvl w:ilvl="0" w:tplc="12B4F4C6">
      <w:start w:val="1"/>
      <w:numFmt w:val="bullet"/>
      <w:lvlText w:val="•"/>
      <w:lvlJc w:val="left"/>
      <w:pPr>
        <w:ind w:left="227"/>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1" w:tplc="0D782172">
      <w:start w:val="1"/>
      <w:numFmt w:val="bullet"/>
      <w:lvlText w:val="o"/>
      <w:lvlJc w:val="left"/>
      <w:pPr>
        <w:ind w:left="1193"/>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2" w:tplc="542CA496">
      <w:start w:val="1"/>
      <w:numFmt w:val="bullet"/>
      <w:lvlText w:val="▪"/>
      <w:lvlJc w:val="left"/>
      <w:pPr>
        <w:ind w:left="1913"/>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3" w:tplc="7A0EF960">
      <w:start w:val="1"/>
      <w:numFmt w:val="bullet"/>
      <w:lvlText w:val="•"/>
      <w:lvlJc w:val="left"/>
      <w:pPr>
        <w:ind w:left="2633"/>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4" w:tplc="826E358E">
      <w:start w:val="1"/>
      <w:numFmt w:val="bullet"/>
      <w:lvlText w:val="o"/>
      <w:lvlJc w:val="left"/>
      <w:pPr>
        <w:ind w:left="3353"/>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5" w:tplc="03A88398">
      <w:start w:val="1"/>
      <w:numFmt w:val="bullet"/>
      <w:lvlText w:val="▪"/>
      <w:lvlJc w:val="left"/>
      <w:pPr>
        <w:ind w:left="4073"/>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6" w:tplc="02AA7938">
      <w:start w:val="1"/>
      <w:numFmt w:val="bullet"/>
      <w:lvlText w:val="•"/>
      <w:lvlJc w:val="left"/>
      <w:pPr>
        <w:ind w:left="4793"/>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7" w:tplc="F132C622">
      <w:start w:val="1"/>
      <w:numFmt w:val="bullet"/>
      <w:lvlText w:val="o"/>
      <w:lvlJc w:val="left"/>
      <w:pPr>
        <w:ind w:left="5513"/>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8" w:tplc="C3E0DCF2">
      <w:start w:val="1"/>
      <w:numFmt w:val="bullet"/>
      <w:lvlText w:val="▪"/>
      <w:lvlJc w:val="left"/>
      <w:pPr>
        <w:ind w:left="6233"/>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abstractNum>
  <w:abstractNum w:abstractNumId="1"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2"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3" w15:restartNumberingAfterBreak="0">
    <w:nsid w:val="09647B8B"/>
    <w:multiLevelType w:val="hybridMultilevel"/>
    <w:tmpl w:val="BB0677C8"/>
    <w:lvl w:ilvl="0" w:tplc="9814C942">
      <w:start w:val="1"/>
      <w:numFmt w:val="bullet"/>
      <w:lvlText w:val="•"/>
      <w:lvlJc w:val="left"/>
      <w:pPr>
        <w:ind w:left="273"/>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1" w:tplc="6B5E6400">
      <w:start w:val="1"/>
      <w:numFmt w:val="bullet"/>
      <w:lvlText w:val="o"/>
      <w:lvlJc w:val="left"/>
      <w:pPr>
        <w:ind w:left="1125"/>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2" w:tplc="B96C1A52">
      <w:start w:val="1"/>
      <w:numFmt w:val="bullet"/>
      <w:lvlText w:val="▪"/>
      <w:lvlJc w:val="left"/>
      <w:pPr>
        <w:ind w:left="1845"/>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3" w:tplc="2BD277EC">
      <w:start w:val="1"/>
      <w:numFmt w:val="bullet"/>
      <w:lvlText w:val="•"/>
      <w:lvlJc w:val="left"/>
      <w:pPr>
        <w:ind w:left="2565"/>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4" w:tplc="F72AB9F2">
      <w:start w:val="1"/>
      <w:numFmt w:val="bullet"/>
      <w:lvlText w:val="o"/>
      <w:lvlJc w:val="left"/>
      <w:pPr>
        <w:ind w:left="3285"/>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5" w:tplc="017AF8D4">
      <w:start w:val="1"/>
      <w:numFmt w:val="bullet"/>
      <w:lvlText w:val="▪"/>
      <w:lvlJc w:val="left"/>
      <w:pPr>
        <w:ind w:left="4005"/>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6" w:tplc="8B9C7FB6">
      <w:start w:val="1"/>
      <w:numFmt w:val="bullet"/>
      <w:lvlText w:val="•"/>
      <w:lvlJc w:val="left"/>
      <w:pPr>
        <w:ind w:left="4725"/>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7" w:tplc="C58415AC">
      <w:start w:val="1"/>
      <w:numFmt w:val="bullet"/>
      <w:lvlText w:val="o"/>
      <w:lvlJc w:val="left"/>
      <w:pPr>
        <w:ind w:left="5445"/>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8" w:tplc="E120428A">
      <w:start w:val="1"/>
      <w:numFmt w:val="bullet"/>
      <w:lvlText w:val="▪"/>
      <w:lvlJc w:val="left"/>
      <w:pPr>
        <w:ind w:left="6165"/>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abstractNum>
  <w:abstractNum w:abstractNumId="4"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5" w15:restartNumberingAfterBreak="0">
    <w:nsid w:val="100C5F31"/>
    <w:multiLevelType w:val="hybridMultilevel"/>
    <w:tmpl w:val="6FC8CCF6"/>
    <w:lvl w:ilvl="0" w:tplc="0C090017">
      <w:start w:val="1"/>
      <w:numFmt w:val="lowerLetter"/>
      <w:lvlText w:val="%1)"/>
      <w:lvlJc w:val="left"/>
      <w:pPr>
        <w:ind w:left="780" w:hanging="360"/>
      </w:pPr>
    </w:lvl>
    <w:lvl w:ilvl="1" w:tplc="0C090019" w:tentative="1">
      <w:start w:val="1"/>
      <w:numFmt w:val="lowerLetter"/>
      <w:lvlText w:val="%2."/>
      <w:lvlJc w:val="left"/>
      <w:pPr>
        <w:ind w:left="1500" w:hanging="360"/>
      </w:pPr>
    </w:lvl>
    <w:lvl w:ilvl="2" w:tplc="0C09001B" w:tentative="1">
      <w:start w:val="1"/>
      <w:numFmt w:val="lowerRoman"/>
      <w:lvlText w:val="%3."/>
      <w:lvlJc w:val="right"/>
      <w:pPr>
        <w:ind w:left="2220" w:hanging="180"/>
      </w:pPr>
    </w:lvl>
    <w:lvl w:ilvl="3" w:tplc="0C09000F" w:tentative="1">
      <w:start w:val="1"/>
      <w:numFmt w:val="decimal"/>
      <w:lvlText w:val="%4."/>
      <w:lvlJc w:val="left"/>
      <w:pPr>
        <w:ind w:left="2940" w:hanging="360"/>
      </w:pPr>
    </w:lvl>
    <w:lvl w:ilvl="4" w:tplc="0C090019" w:tentative="1">
      <w:start w:val="1"/>
      <w:numFmt w:val="lowerLetter"/>
      <w:lvlText w:val="%5."/>
      <w:lvlJc w:val="left"/>
      <w:pPr>
        <w:ind w:left="3660" w:hanging="360"/>
      </w:pPr>
    </w:lvl>
    <w:lvl w:ilvl="5" w:tplc="0C09001B" w:tentative="1">
      <w:start w:val="1"/>
      <w:numFmt w:val="lowerRoman"/>
      <w:lvlText w:val="%6."/>
      <w:lvlJc w:val="right"/>
      <w:pPr>
        <w:ind w:left="4380" w:hanging="180"/>
      </w:pPr>
    </w:lvl>
    <w:lvl w:ilvl="6" w:tplc="0C09000F" w:tentative="1">
      <w:start w:val="1"/>
      <w:numFmt w:val="decimal"/>
      <w:lvlText w:val="%7."/>
      <w:lvlJc w:val="left"/>
      <w:pPr>
        <w:ind w:left="5100" w:hanging="360"/>
      </w:pPr>
    </w:lvl>
    <w:lvl w:ilvl="7" w:tplc="0C090019" w:tentative="1">
      <w:start w:val="1"/>
      <w:numFmt w:val="lowerLetter"/>
      <w:lvlText w:val="%8."/>
      <w:lvlJc w:val="left"/>
      <w:pPr>
        <w:ind w:left="5820" w:hanging="360"/>
      </w:pPr>
    </w:lvl>
    <w:lvl w:ilvl="8" w:tplc="0C09001B" w:tentative="1">
      <w:start w:val="1"/>
      <w:numFmt w:val="lowerRoman"/>
      <w:lvlText w:val="%9."/>
      <w:lvlJc w:val="right"/>
      <w:pPr>
        <w:ind w:left="6540" w:hanging="180"/>
      </w:pPr>
    </w:lvl>
  </w:abstractNum>
  <w:abstractNum w:abstractNumId="6" w15:restartNumberingAfterBreak="0">
    <w:nsid w:val="101E0AD8"/>
    <w:multiLevelType w:val="hybridMultilevel"/>
    <w:tmpl w:val="6D501B9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12242E22"/>
    <w:multiLevelType w:val="hybridMultilevel"/>
    <w:tmpl w:val="31FABAFA"/>
    <w:lvl w:ilvl="0" w:tplc="9158615E">
      <w:start w:val="1"/>
      <w:numFmt w:val="bullet"/>
      <w:lvlText w:val="–"/>
      <w:lvlJc w:val="left"/>
      <w:pPr>
        <w:ind w:left="564"/>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1" w:tplc="F0E07C52">
      <w:start w:val="1"/>
      <w:numFmt w:val="bullet"/>
      <w:lvlText w:val="o"/>
      <w:lvlJc w:val="left"/>
      <w:pPr>
        <w:ind w:left="1418"/>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2" w:tplc="B3FA0194">
      <w:start w:val="1"/>
      <w:numFmt w:val="bullet"/>
      <w:lvlText w:val="▪"/>
      <w:lvlJc w:val="left"/>
      <w:pPr>
        <w:ind w:left="2138"/>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3" w:tplc="FD009188">
      <w:start w:val="1"/>
      <w:numFmt w:val="bullet"/>
      <w:lvlText w:val="•"/>
      <w:lvlJc w:val="left"/>
      <w:pPr>
        <w:ind w:left="2858"/>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4" w:tplc="8216085E">
      <w:start w:val="1"/>
      <w:numFmt w:val="bullet"/>
      <w:lvlText w:val="o"/>
      <w:lvlJc w:val="left"/>
      <w:pPr>
        <w:ind w:left="3578"/>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5" w:tplc="759A2162">
      <w:start w:val="1"/>
      <w:numFmt w:val="bullet"/>
      <w:lvlText w:val="▪"/>
      <w:lvlJc w:val="left"/>
      <w:pPr>
        <w:ind w:left="4298"/>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6" w:tplc="19ECF730">
      <w:start w:val="1"/>
      <w:numFmt w:val="bullet"/>
      <w:lvlText w:val="•"/>
      <w:lvlJc w:val="left"/>
      <w:pPr>
        <w:ind w:left="5018"/>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7" w:tplc="839C6AEC">
      <w:start w:val="1"/>
      <w:numFmt w:val="bullet"/>
      <w:lvlText w:val="o"/>
      <w:lvlJc w:val="left"/>
      <w:pPr>
        <w:ind w:left="5738"/>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8" w:tplc="7566545E">
      <w:start w:val="1"/>
      <w:numFmt w:val="bullet"/>
      <w:lvlText w:val="▪"/>
      <w:lvlJc w:val="left"/>
      <w:pPr>
        <w:ind w:left="6458"/>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abstractNum>
  <w:abstractNum w:abstractNumId="8" w15:restartNumberingAfterBreak="0">
    <w:nsid w:val="13763E16"/>
    <w:multiLevelType w:val="multilevel"/>
    <w:tmpl w:val="4B0434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ListAlpha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23C61481"/>
    <w:multiLevelType w:val="hybridMultilevel"/>
    <w:tmpl w:val="AC06E434"/>
    <w:lvl w:ilvl="0" w:tplc="3A02D768">
      <w:start w:val="1"/>
      <w:numFmt w:val="bullet"/>
      <w:lvlText w:val="•"/>
      <w:lvlJc w:val="left"/>
      <w:pPr>
        <w:ind w:left="273"/>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1" w:tplc="5008B78E">
      <w:start w:val="1"/>
      <w:numFmt w:val="bullet"/>
      <w:lvlText w:val="o"/>
      <w:lvlJc w:val="left"/>
      <w:pPr>
        <w:ind w:left="1107"/>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2" w:tplc="51B4FF98">
      <w:start w:val="1"/>
      <w:numFmt w:val="bullet"/>
      <w:lvlText w:val="▪"/>
      <w:lvlJc w:val="left"/>
      <w:pPr>
        <w:ind w:left="1827"/>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3" w:tplc="EE665D2A">
      <w:start w:val="1"/>
      <w:numFmt w:val="bullet"/>
      <w:lvlText w:val="•"/>
      <w:lvlJc w:val="left"/>
      <w:pPr>
        <w:ind w:left="2547"/>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4" w:tplc="9AFAF524">
      <w:start w:val="1"/>
      <w:numFmt w:val="bullet"/>
      <w:lvlText w:val="o"/>
      <w:lvlJc w:val="left"/>
      <w:pPr>
        <w:ind w:left="3267"/>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5" w:tplc="F2AE8FF4">
      <w:start w:val="1"/>
      <w:numFmt w:val="bullet"/>
      <w:lvlText w:val="▪"/>
      <w:lvlJc w:val="left"/>
      <w:pPr>
        <w:ind w:left="3987"/>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6" w:tplc="0AFCA9B0">
      <w:start w:val="1"/>
      <w:numFmt w:val="bullet"/>
      <w:lvlText w:val="•"/>
      <w:lvlJc w:val="left"/>
      <w:pPr>
        <w:ind w:left="4707"/>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7" w:tplc="681A2A30">
      <w:start w:val="1"/>
      <w:numFmt w:val="bullet"/>
      <w:lvlText w:val="o"/>
      <w:lvlJc w:val="left"/>
      <w:pPr>
        <w:ind w:left="5427"/>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8" w:tplc="D9CCF976">
      <w:start w:val="1"/>
      <w:numFmt w:val="bullet"/>
      <w:lvlText w:val="▪"/>
      <w:lvlJc w:val="left"/>
      <w:pPr>
        <w:ind w:left="6147"/>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abstractNum>
  <w:abstractNum w:abstractNumId="10"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4"/>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4"/>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4"/>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4"/>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11" w15:restartNumberingAfterBreak="0">
    <w:nsid w:val="353912ED"/>
    <w:multiLevelType w:val="multilevel"/>
    <w:tmpl w:val="279CF11E"/>
    <w:styleLink w:val="ListBullet"/>
    <w:lvl w:ilvl="0">
      <w:start w:val="1"/>
      <w:numFmt w:val="bullet"/>
      <w:pStyle w:val="ListBullet0"/>
      <w:lvlText w:val="•"/>
      <w:lvlJc w:val="left"/>
      <w:pPr>
        <w:tabs>
          <w:tab w:val="num" w:pos="425"/>
        </w:tabs>
        <w:ind w:left="425" w:hanging="425"/>
      </w:pPr>
      <w:rPr>
        <w:rFonts w:ascii="Arial" w:hAnsi="Arial" w:hint="default"/>
        <w:b w:val="0"/>
        <w:i w:val="0"/>
        <w:color w:val="auto"/>
        <w:sz w:val="24"/>
        <w:szCs w:val="20"/>
      </w:rPr>
    </w:lvl>
    <w:lvl w:ilvl="1">
      <w:start w:val="1"/>
      <w:numFmt w:val="bullet"/>
      <w:pStyle w:val="ListBullet2"/>
      <w:lvlText w:val="-"/>
      <w:lvlJc w:val="left"/>
      <w:pPr>
        <w:tabs>
          <w:tab w:val="num" w:pos="851"/>
        </w:tabs>
        <w:ind w:left="851" w:hanging="426"/>
      </w:pPr>
      <w:rPr>
        <w:rFonts w:ascii="Arial" w:hAnsi="Arial" w:hint="default"/>
        <w:caps w:val="0"/>
        <w:strike w:val="0"/>
        <w:dstrike w:val="0"/>
        <w:vanish w:val="0"/>
        <w:color w:val="auto"/>
        <w:sz w:val="24"/>
        <w:u w:val="none"/>
        <w:vertAlign w:val="baseline"/>
      </w:rPr>
    </w:lvl>
    <w:lvl w:ilvl="2">
      <w:start w:val="1"/>
      <w:numFmt w:val="bullet"/>
      <w:pStyle w:val="ListBullet3"/>
      <w:lvlText w:val="•"/>
      <w:lvlJc w:val="left"/>
      <w:pPr>
        <w:tabs>
          <w:tab w:val="num" w:pos="1276"/>
        </w:tabs>
        <w:ind w:left="1276" w:hanging="425"/>
      </w:pPr>
      <w:rPr>
        <w:rFonts w:ascii="Arial" w:hAnsi="Arial" w:hint="default"/>
        <w:color w:val="auto"/>
        <w:sz w:val="24"/>
      </w:rPr>
    </w:lvl>
    <w:lvl w:ilvl="3">
      <w:start w:val="1"/>
      <w:numFmt w:val="bullet"/>
      <w:pStyle w:val="ListBullet4"/>
      <w:lvlText w:val="-"/>
      <w:lvlJc w:val="left"/>
      <w:pPr>
        <w:tabs>
          <w:tab w:val="num" w:pos="1701"/>
        </w:tabs>
        <w:ind w:left="1701" w:hanging="425"/>
      </w:pPr>
      <w:rPr>
        <w:rFonts w:ascii="Arial" w:hAnsi="Arial" w:hint="default"/>
        <w:caps w:val="0"/>
        <w:strike w:val="0"/>
        <w:dstrike w:val="0"/>
        <w:vanish w:val="0"/>
        <w:color w:val="auto"/>
        <w:sz w:val="24"/>
        <w:u w:val="none"/>
        <w:vertAlign w:val="baseline"/>
      </w:rPr>
    </w:lvl>
    <w:lvl w:ilvl="4">
      <w:start w:val="1"/>
      <w:numFmt w:val="bullet"/>
      <w:pStyle w:val="ListBullet5"/>
      <w:lvlText w:val="•"/>
      <w:lvlJc w:val="left"/>
      <w:pPr>
        <w:tabs>
          <w:tab w:val="num" w:pos="2126"/>
        </w:tabs>
        <w:ind w:left="2126" w:hanging="425"/>
      </w:pPr>
      <w:rPr>
        <w:rFonts w:ascii="Arial" w:hAnsi="Arial" w:hint="default"/>
        <w:color w:val="auto"/>
        <w:sz w:val="24"/>
      </w:rPr>
    </w:lvl>
    <w:lvl w:ilvl="5">
      <w:start w:val="1"/>
      <w:numFmt w:val="bullet"/>
      <w:pStyle w:val="ListBullet6"/>
      <w:lvlText w:val="-"/>
      <w:lvlJc w:val="left"/>
      <w:pPr>
        <w:tabs>
          <w:tab w:val="num" w:pos="2552"/>
        </w:tabs>
        <w:ind w:left="2552" w:hanging="426"/>
      </w:pPr>
      <w:rPr>
        <w:rFonts w:ascii="Arial" w:hAnsi="Arial" w:hint="default"/>
        <w:caps w:val="0"/>
        <w:strike w:val="0"/>
        <w:dstrike w:val="0"/>
        <w:vanish w:val="0"/>
        <w:color w:val="auto"/>
        <w:sz w:val="24"/>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12" w15:restartNumberingAfterBreak="0">
    <w:nsid w:val="3A1B4DD0"/>
    <w:multiLevelType w:val="hybridMultilevel"/>
    <w:tmpl w:val="167E25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A410906"/>
    <w:multiLevelType w:val="hybridMultilevel"/>
    <w:tmpl w:val="C6E6175E"/>
    <w:lvl w:ilvl="0" w:tplc="E18A2106">
      <w:start w:val="1"/>
      <w:numFmt w:val="bullet"/>
      <w:lvlText w:val="•"/>
      <w:lvlJc w:val="left"/>
      <w:pPr>
        <w:ind w:left="22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298E80BA">
      <w:start w:val="1"/>
      <w:numFmt w:val="bullet"/>
      <w:lvlText w:val="o"/>
      <w:lvlJc w:val="left"/>
      <w:pPr>
        <w:ind w:left="10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040EC73A">
      <w:start w:val="1"/>
      <w:numFmt w:val="bullet"/>
      <w:lvlText w:val="▪"/>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A030CE60">
      <w:start w:val="1"/>
      <w:numFmt w:val="bullet"/>
      <w:lvlText w:val="•"/>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B37E6970">
      <w:start w:val="1"/>
      <w:numFmt w:val="bullet"/>
      <w:lvlText w:val="o"/>
      <w:lvlJc w:val="left"/>
      <w:pPr>
        <w:ind w:left="32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76C27ABE">
      <w:start w:val="1"/>
      <w:numFmt w:val="bullet"/>
      <w:lvlText w:val="▪"/>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29587612">
      <w:start w:val="1"/>
      <w:numFmt w:val="bullet"/>
      <w:lvlText w:val="•"/>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07968A1E">
      <w:start w:val="1"/>
      <w:numFmt w:val="bullet"/>
      <w:lvlText w:val="o"/>
      <w:lvlJc w:val="left"/>
      <w:pPr>
        <w:ind w:left="54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256E3F6A">
      <w:start w:val="1"/>
      <w:numFmt w:val="bullet"/>
      <w:lvlText w:val="▪"/>
      <w:lvlJc w:val="left"/>
      <w:pPr>
        <w:ind w:left="61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4" w15:restartNumberingAfterBreak="0">
    <w:nsid w:val="40071FAE"/>
    <w:multiLevelType w:val="multilevel"/>
    <w:tmpl w:val="A212FCEE"/>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28"/>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4"/>
      </w:rPr>
    </w:lvl>
    <w:lvl w:ilvl="2">
      <w:start w:val="1"/>
      <w:numFmt w:val="decimal"/>
      <w:pStyle w:val="NbrHeading3"/>
      <w:lvlText w:val="%1.%2.%3"/>
      <w:lvlJc w:val="left"/>
      <w:pPr>
        <w:tabs>
          <w:tab w:val="num" w:pos="1134"/>
        </w:tabs>
        <w:ind w:left="1134" w:hanging="1134"/>
      </w:pPr>
      <w:rPr>
        <w:rFonts w:asciiTheme="majorHAnsi" w:hAnsiTheme="majorHAnsi" w:hint="default"/>
        <w:b/>
        <w:color w:val="auto"/>
        <w:sz w:val="22"/>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5" w15:restartNumberingAfterBreak="0">
    <w:nsid w:val="56AD7BCF"/>
    <w:multiLevelType w:val="hybridMultilevel"/>
    <w:tmpl w:val="3090600E"/>
    <w:lvl w:ilvl="0" w:tplc="9386EC1A">
      <w:start w:val="1"/>
      <w:numFmt w:val="bullet"/>
      <w:lvlText w:val="•"/>
      <w:lvlJc w:val="left"/>
      <w:pPr>
        <w:ind w:left="338"/>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1" w:tplc="34FC26FA">
      <w:start w:val="1"/>
      <w:numFmt w:val="bullet"/>
      <w:lvlText w:val="o"/>
      <w:lvlJc w:val="left"/>
      <w:pPr>
        <w:ind w:left="1191"/>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2" w:tplc="AF76B0A6">
      <w:start w:val="1"/>
      <w:numFmt w:val="bullet"/>
      <w:lvlText w:val="▪"/>
      <w:lvlJc w:val="left"/>
      <w:pPr>
        <w:ind w:left="1911"/>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3" w:tplc="5E30CA4E">
      <w:start w:val="1"/>
      <w:numFmt w:val="bullet"/>
      <w:lvlText w:val="•"/>
      <w:lvlJc w:val="left"/>
      <w:pPr>
        <w:ind w:left="2631"/>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4" w:tplc="88AE1AE0">
      <w:start w:val="1"/>
      <w:numFmt w:val="bullet"/>
      <w:lvlText w:val="o"/>
      <w:lvlJc w:val="left"/>
      <w:pPr>
        <w:ind w:left="3351"/>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5" w:tplc="86782B0A">
      <w:start w:val="1"/>
      <w:numFmt w:val="bullet"/>
      <w:lvlText w:val="▪"/>
      <w:lvlJc w:val="left"/>
      <w:pPr>
        <w:ind w:left="4071"/>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6" w:tplc="8376A724">
      <w:start w:val="1"/>
      <w:numFmt w:val="bullet"/>
      <w:lvlText w:val="•"/>
      <w:lvlJc w:val="left"/>
      <w:pPr>
        <w:ind w:left="4791"/>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7" w:tplc="C00C23FC">
      <w:start w:val="1"/>
      <w:numFmt w:val="bullet"/>
      <w:lvlText w:val="o"/>
      <w:lvlJc w:val="left"/>
      <w:pPr>
        <w:ind w:left="5511"/>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8" w:tplc="D67848E0">
      <w:start w:val="1"/>
      <w:numFmt w:val="bullet"/>
      <w:lvlText w:val="▪"/>
      <w:lvlJc w:val="left"/>
      <w:pPr>
        <w:ind w:left="6231"/>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abstractNum>
  <w:abstractNum w:abstractNumId="16" w15:restartNumberingAfterBreak="0">
    <w:nsid w:val="5AA666FB"/>
    <w:multiLevelType w:val="hybridMultilevel"/>
    <w:tmpl w:val="DAAE08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DB0627A"/>
    <w:multiLevelType w:val="multilevel"/>
    <w:tmpl w:val="626C565E"/>
    <w:numStyleLink w:val="ListTableBullet"/>
  </w:abstractNum>
  <w:abstractNum w:abstractNumId="18" w15:restartNumberingAfterBreak="0">
    <w:nsid w:val="5DEB4B03"/>
    <w:multiLevelType w:val="hybridMultilevel"/>
    <w:tmpl w:val="F11A23F8"/>
    <w:lvl w:ilvl="0" w:tplc="287EC264">
      <w:start w:val="1"/>
      <w:numFmt w:val="bullet"/>
      <w:lvlText w:val="•"/>
      <w:lvlJc w:val="left"/>
      <w:pPr>
        <w:ind w:left="227"/>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1" w:tplc="1E2E1296">
      <w:start w:val="1"/>
      <w:numFmt w:val="bullet"/>
      <w:lvlText w:val="o"/>
      <w:lvlJc w:val="left"/>
      <w:pPr>
        <w:ind w:left="1165"/>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2" w:tplc="5EBEFE30">
      <w:start w:val="1"/>
      <w:numFmt w:val="bullet"/>
      <w:lvlText w:val="▪"/>
      <w:lvlJc w:val="left"/>
      <w:pPr>
        <w:ind w:left="1885"/>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3" w:tplc="FAECBF42">
      <w:start w:val="1"/>
      <w:numFmt w:val="bullet"/>
      <w:lvlText w:val="•"/>
      <w:lvlJc w:val="left"/>
      <w:pPr>
        <w:ind w:left="2605"/>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4" w:tplc="BFA81C48">
      <w:start w:val="1"/>
      <w:numFmt w:val="bullet"/>
      <w:lvlText w:val="o"/>
      <w:lvlJc w:val="left"/>
      <w:pPr>
        <w:ind w:left="3325"/>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5" w:tplc="786A0E88">
      <w:start w:val="1"/>
      <w:numFmt w:val="bullet"/>
      <w:lvlText w:val="▪"/>
      <w:lvlJc w:val="left"/>
      <w:pPr>
        <w:ind w:left="4045"/>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6" w:tplc="D3AE6094">
      <w:start w:val="1"/>
      <w:numFmt w:val="bullet"/>
      <w:lvlText w:val="•"/>
      <w:lvlJc w:val="left"/>
      <w:pPr>
        <w:ind w:left="4765"/>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7" w:tplc="73C02B06">
      <w:start w:val="1"/>
      <w:numFmt w:val="bullet"/>
      <w:lvlText w:val="o"/>
      <w:lvlJc w:val="left"/>
      <w:pPr>
        <w:ind w:left="5485"/>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8" w:tplc="130E5068">
      <w:start w:val="1"/>
      <w:numFmt w:val="bullet"/>
      <w:lvlText w:val="▪"/>
      <w:lvlJc w:val="left"/>
      <w:pPr>
        <w:ind w:left="6205"/>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abstractNum>
  <w:abstractNum w:abstractNumId="19" w15:restartNumberingAfterBreak="0">
    <w:nsid w:val="5F674D66"/>
    <w:multiLevelType w:val="hybridMultilevel"/>
    <w:tmpl w:val="1F1E079E"/>
    <w:lvl w:ilvl="0" w:tplc="8F90FEF4">
      <w:start w:val="1"/>
      <w:numFmt w:val="bullet"/>
      <w:lvlText w:val="•"/>
      <w:lvlJc w:val="left"/>
      <w:pPr>
        <w:ind w:left="227"/>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1" w:tplc="8794E000">
      <w:start w:val="1"/>
      <w:numFmt w:val="bullet"/>
      <w:lvlText w:val="o"/>
      <w:lvlJc w:val="left"/>
      <w:pPr>
        <w:ind w:left="1165"/>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2" w:tplc="257C759E">
      <w:start w:val="1"/>
      <w:numFmt w:val="bullet"/>
      <w:lvlText w:val="▪"/>
      <w:lvlJc w:val="left"/>
      <w:pPr>
        <w:ind w:left="1885"/>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3" w:tplc="C4AA32B8">
      <w:start w:val="1"/>
      <w:numFmt w:val="bullet"/>
      <w:lvlText w:val="•"/>
      <w:lvlJc w:val="left"/>
      <w:pPr>
        <w:ind w:left="2605"/>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4" w:tplc="4E0A616A">
      <w:start w:val="1"/>
      <w:numFmt w:val="bullet"/>
      <w:lvlText w:val="o"/>
      <w:lvlJc w:val="left"/>
      <w:pPr>
        <w:ind w:left="3325"/>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5" w:tplc="9EDE51D8">
      <w:start w:val="1"/>
      <w:numFmt w:val="bullet"/>
      <w:lvlText w:val="▪"/>
      <w:lvlJc w:val="left"/>
      <w:pPr>
        <w:ind w:left="4045"/>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6" w:tplc="2AAA12DC">
      <w:start w:val="1"/>
      <w:numFmt w:val="bullet"/>
      <w:lvlText w:val="•"/>
      <w:lvlJc w:val="left"/>
      <w:pPr>
        <w:ind w:left="4765"/>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7" w:tplc="0584E368">
      <w:start w:val="1"/>
      <w:numFmt w:val="bullet"/>
      <w:lvlText w:val="o"/>
      <w:lvlJc w:val="left"/>
      <w:pPr>
        <w:ind w:left="5485"/>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8" w:tplc="C01C8E26">
      <w:start w:val="1"/>
      <w:numFmt w:val="bullet"/>
      <w:lvlText w:val="▪"/>
      <w:lvlJc w:val="left"/>
      <w:pPr>
        <w:ind w:left="6205"/>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abstractNum>
  <w:abstractNum w:abstractNumId="20" w15:restartNumberingAfterBreak="0">
    <w:nsid w:val="61792BC7"/>
    <w:multiLevelType w:val="multilevel"/>
    <w:tmpl w:val="BDFC207A"/>
    <w:numStyleLink w:val="ListTableNumber"/>
  </w:abstractNum>
  <w:abstractNum w:abstractNumId="21"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2" w15:restartNumberingAfterBreak="0">
    <w:nsid w:val="659A1141"/>
    <w:multiLevelType w:val="hybridMultilevel"/>
    <w:tmpl w:val="47BC89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EA4546F"/>
    <w:multiLevelType w:val="hybridMultilevel"/>
    <w:tmpl w:val="C9289D40"/>
    <w:lvl w:ilvl="0" w:tplc="32926744">
      <w:start w:val="1"/>
      <w:numFmt w:val="bullet"/>
      <w:lvlText w:val="•"/>
      <w:lvlJc w:val="left"/>
      <w:pPr>
        <w:ind w:left="227"/>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1" w:tplc="39DE45FA">
      <w:start w:val="1"/>
      <w:numFmt w:val="bullet"/>
      <w:lvlText w:val="o"/>
      <w:lvlJc w:val="left"/>
      <w:pPr>
        <w:ind w:left="1193"/>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2" w:tplc="FF8651EC">
      <w:start w:val="1"/>
      <w:numFmt w:val="bullet"/>
      <w:lvlText w:val="▪"/>
      <w:lvlJc w:val="left"/>
      <w:pPr>
        <w:ind w:left="1913"/>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3" w:tplc="47FCF116">
      <w:start w:val="1"/>
      <w:numFmt w:val="bullet"/>
      <w:lvlText w:val="•"/>
      <w:lvlJc w:val="left"/>
      <w:pPr>
        <w:ind w:left="2633"/>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4" w:tplc="8028ECDE">
      <w:start w:val="1"/>
      <w:numFmt w:val="bullet"/>
      <w:lvlText w:val="o"/>
      <w:lvlJc w:val="left"/>
      <w:pPr>
        <w:ind w:left="3353"/>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5" w:tplc="82FEC7FA">
      <w:start w:val="1"/>
      <w:numFmt w:val="bullet"/>
      <w:lvlText w:val="▪"/>
      <w:lvlJc w:val="left"/>
      <w:pPr>
        <w:ind w:left="4073"/>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6" w:tplc="6276C94E">
      <w:start w:val="1"/>
      <w:numFmt w:val="bullet"/>
      <w:lvlText w:val="•"/>
      <w:lvlJc w:val="left"/>
      <w:pPr>
        <w:ind w:left="4793"/>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7" w:tplc="6B5AE93C">
      <w:start w:val="1"/>
      <w:numFmt w:val="bullet"/>
      <w:lvlText w:val="o"/>
      <w:lvlJc w:val="left"/>
      <w:pPr>
        <w:ind w:left="5513"/>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8" w:tplc="62F26D9A">
      <w:start w:val="1"/>
      <w:numFmt w:val="bullet"/>
      <w:lvlText w:val="▪"/>
      <w:lvlJc w:val="left"/>
      <w:pPr>
        <w:ind w:left="6233"/>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abstractNum>
  <w:abstractNum w:abstractNumId="24" w15:restartNumberingAfterBreak="0">
    <w:nsid w:val="7139706E"/>
    <w:multiLevelType w:val="multilevel"/>
    <w:tmpl w:val="11C64328"/>
    <w:numStyleLink w:val="ListParagraph"/>
  </w:abstractNum>
  <w:abstractNum w:abstractNumId="25" w15:restartNumberingAfterBreak="0">
    <w:nsid w:val="73740A55"/>
    <w:multiLevelType w:val="hybridMultilevel"/>
    <w:tmpl w:val="096483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67F3D08"/>
    <w:multiLevelType w:val="hybridMultilevel"/>
    <w:tmpl w:val="632862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870203F"/>
    <w:multiLevelType w:val="multilevel"/>
    <w:tmpl w:val="A212FCEE"/>
    <w:numStyleLink w:val="ListNumberedHeadings"/>
  </w:abstractNum>
  <w:abstractNum w:abstractNumId="28"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2"/>
  </w:num>
  <w:num w:numId="2">
    <w:abstractNumId w:val="28"/>
  </w:num>
  <w:num w:numId="3">
    <w:abstractNumId w:val="10"/>
  </w:num>
  <w:num w:numId="4">
    <w:abstractNumId w:val="14"/>
  </w:num>
  <w:num w:numId="5">
    <w:abstractNumId w:val="1"/>
  </w:num>
  <w:num w:numId="6">
    <w:abstractNumId w:val="4"/>
  </w:num>
  <w:num w:numId="7">
    <w:abstractNumId w:val="21"/>
  </w:num>
  <w:num w:numId="8">
    <w:abstractNumId w:val="24"/>
  </w:num>
  <w:num w:numId="9">
    <w:abstractNumId w:val="11"/>
  </w:num>
  <w:num w:numId="10">
    <w:abstractNumId w:val="2"/>
  </w:num>
  <w:num w:numId="11">
    <w:abstractNumId w:val="10"/>
  </w:num>
  <w:num w:numId="12">
    <w:abstractNumId w:val="8"/>
  </w:num>
  <w:num w:numId="13">
    <w:abstractNumId w:val="20"/>
  </w:num>
  <w:num w:numId="14">
    <w:abstractNumId w:val="11"/>
  </w:num>
  <w:num w:numId="15">
    <w:abstractNumId w:val="17"/>
  </w:num>
  <w:num w:numId="16">
    <w:abstractNumId w:val="27"/>
  </w:num>
  <w:num w:numId="17">
    <w:abstractNumId w:val="25"/>
  </w:num>
  <w:num w:numId="18">
    <w:abstractNumId w:val="26"/>
  </w:num>
  <w:num w:numId="19">
    <w:abstractNumId w:val="5"/>
  </w:num>
  <w:num w:numId="20">
    <w:abstractNumId w:val="12"/>
  </w:num>
  <w:num w:numId="21">
    <w:abstractNumId w:val="6"/>
  </w:num>
  <w:num w:numId="22">
    <w:abstractNumId w:val="13"/>
  </w:num>
  <w:num w:numId="23">
    <w:abstractNumId w:val="9"/>
  </w:num>
  <w:num w:numId="24">
    <w:abstractNumId w:val="19"/>
  </w:num>
  <w:num w:numId="25">
    <w:abstractNumId w:val="18"/>
  </w:num>
  <w:num w:numId="26">
    <w:abstractNumId w:val="3"/>
  </w:num>
  <w:num w:numId="27">
    <w:abstractNumId w:val="0"/>
  </w:num>
  <w:num w:numId="28">
    <w:abstractNumId w:val="23"/>
  </w:num>
  <w:num w:numId="29">
    <w:abstractNumId w:val="15"/>
  </w:num>
  <w:num w:numId="30">
    <w:abstractNumId w:val="7"/>
  </w:num>
  <w:num w:numId="31">
    <w:abstractNumId w:val="22"/>
  </w:num>
  <w:num w:numId="32">
    <w:abstractNumId w:val="1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attachedTemplate r:id="rId1"/>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561"/>
    <w:rsid w:val="00002DD7"/>
    <w:rsid w:val="00006100"/>
    <w:rsid w:val="00007607"/>
    <w:rsid w:val="00033E80"/>
    <w:rsid w:val="000358CA"/>
    <w:rsid w:val="00035949"/>
    <w:rsid w:val="000427B8"/>
    <w:rsid w:val="00044033"/>
    <w:rsid w:val="000544F1"/>
    <w:rsid w:val="00065B4E"/>
    <w:rsid w:val="00065E72"/>
    <w:rsid w:val="00070A9D"/>
    <w:rsid w:val="000714F9"/>
    <w:rsid w:val="00071C7D"/>
    <w:rsid w:val="00076352"/>
    <w:rsid w:val="00076F97"/>
    <w:rsid w:val="00082FB3"/>
    <w:rsid w:val="000843EB"/>
    <w:rsid w:val="00086556"/>
    <w:rsid w:val="000870BB"/>
    <w:rsid w:val="00087857"/>
    <w:rsid w:val="00087D93"/>
    <w:rsid w:val="000907ED"/>
    <w:rsid w:val="0009689B"/>
    <w:rsid w:val="00097875"/>
    <w:rsid w:val="000A6B95"/>
    <w:rsid w:val="000B3EBE"/>
    <w:rsid w:val="000B425C"/>
    <w:rsid w:val="000B6FA1"/>
    <w:rsid w:val="000C0C22"/>
    <w:rsid w:val="000C1D1E"/>
    <w:rsid w:val="000C2561"/>
    <w:rsid w:val="000C5684"/>
    <w:rsid w:val="000C6408"/>
    <w:rsid w:val="000C7844"/>
    <w:rsid w:val="000D2627"/>
    <w:rsid w:val="000D2BCE"/>
    <w:rsid w:val="000E2146"/>
    <w:rsid w:val="000E3633"/>
    <w:rsid w:val="000F1ADB"/>
    <w:rsid w:val="000F4A35"/>
    <w:rsid w:val="00102A84"/>
    <w:rsid w:val="00104041"/>
    <w:rsid w:val="001063C6"/>
    <w:rsid w:val="00110206"/>
    <w:rsid w:val="001150BC"/>
    <w:rsid w:val="00116F94"/>
    <w:rsid w:val="00127140"/>
    <w:rsid w:val="0013218E"/>
    <w:rsid w:val="00135606"/>
    <w:rsid w:val="00137347"/>
    <w:rsid w:val="00140653"/>
    <w:rsid w:val="00140E8B"/>
    <w:rsid w:val="00142F67"/>
    <w:rsid w:val="00145CCD"/>
    <w:rsid w:val="001474A2"/>
    <w:rsid w:val="001505D8"/>
    <w:rsid w:val="00153F11"/>
    <w:rsid w:val="00154790"/>
    <w:rsid w:val="001550A2"/>
    <w:rsid w:val="00156423"/>
    <w:rsid w:val="001600E5"/>
    <w:rsid w:val="001606BB"/>
    <w:rsid w:val="001646A3"/>
    <w:rsid w:val="001724E3"/>
    <w:rsid w:val="00175B12"/>
    <w:rsid w:val="00177B9C"/>
    <w:rsid w:val="00182924"/>
    <w:rsid w:val="001829A7"/>
    <w:rsid w:val="00183624"/>
    <w:rsid w:val="00185154"/>
    <w:rsid w:val="00186E49"/>
    <w:rsid w:val="0019114D"/>
    <w:rsid w:val="001A35F2"/>
    <w:rsid w:val="001B0606"/>
    <w:rsid w:val="001B2F09"/>
    <w:rsid w:val="001C00EC"/>
    <w:rsid w:val="001C05DC"/>
    <w:rsid w:val="001C38CC"/>
    <w:rsid w:val="001D695A"/>
    <w:rsid w:val="001E7F1A"/>
    <w:rsid w:val="001F16CA"/>
    <w:rsid w:val="001F2388"/>
    <w:rsid w:val="0020208F"/>
    <w:rsid w:val="00205C51"/>
    <w:rsid w:val="002078C1"/>
    <w:rsid w:val="002106C4"/>
    <w:rsid w:val="00210DEF"/>
    <w:rsid w:val="00222215"/>
    <w:rsid w:val="0025119D"/>
    <w:rsid w:val="00252201"/>
    <w:rsid w:val="00254DD8"/>
    <w:rsid w:val="00264546"/>
    <w:rsid w:val="00264D7D"/>
    <w:rsid w:val="00271ECA"/>
    <w:rsid w:val="00276DEB"/>
    <w:rsid w:val="00291475"/>
    <w:rsid w:val="002A542F"/>
    <w:rsid w:val="002A590E"/>
    <w:rsid w:val="002B4003"/>
    <w:rsid w:val="002C3A08"/>
    <w:rsid w:val="002C4E66"/>
    <w:rsid w:val="002C5B1C"/>
    <w:rsid w:val="002C6FE0"/>
    <w:rsid w:val="002D0339"/>
    <w:rsid w:val="002D076F"/>
    <w:rsid w:val="002D4059"/>
    <w:rsid w:val="002D4254"/>
    <w:rsid w:val="002D4E6E"/>
    <w:rsid w:val="002D72CB"/>
    <w:rsid w:val="002E1E2A"/>
    <w:rsid w:val="002E62B5"/>
    <w:rsid w:val="002F1EC9"/>
    <w:rsid w:val="002F2F7A"/>
    <w:rsid w:val="002F4862"/>
    <w:rsid w:val="002F5057"/>
    <w:rsid w:val="002F652D"/>
    <w:rsid w:val="003000DE"/>
    <w:rsid w:val="00300C8A"/>
    <w:rsid w:val="00301893"/>
    <w:rsid w:val="003050F9"/>
    <w:rsid w:val="00305B1E"/>
    <w:rsid w:val="0030645F"/>
    <w:rsid w:val="00310877"/>
    <w:rsid w:val="00313EF7"/>
    <w:rsid w:val="00330BBE"/>
    <w:rsid w:val="0033731A"/>
    <w:rsid w:val="003377E1"/>
    <w:rsid w:val="003411DD"/>
    <w:rsid w:val="00344BEF"/>
    <w:rsid w:val="003513F9"/>
    <w:rsid w:val="003524F2"/>
    <w:rsid w:val="00354EF7"/>
    <w:rsid w:val="0037398C"/>
    <w:rsid w:val="00375653"/>
    <w:rsid w:val="0037618F"/>
    <w:rsid w:val="003853C1"/>
    <w:rsid w:val="00393C4A"/>
    <w:rsid w:val="003A04C1"/>
    <w:rsid w:val="003A08A5"/>
    <w:rsid w:val="003A2F67"/>
    <w:rsid w:val="003B0945"/>
    <w:rsid w:val="003B097F"/>
    <w:rsid w:val="003B126F"/>
    <w:rsid w:val="003B39B4"/>
    <w:rsid w:val="003B4DCF"/>
    <w:rsid w:val="003B5F0D"/>
    <w:rsid w:val="003C20B8"/>
    <w:rsid w:val="003D18FD"/>
    <w:rsid w:val="003D3B71"/>
    <w:rsid w:val="003D56AF"/>
    <w:rsid w:val="003D71B3"/>
    <w:rsid w:val="003E059C"/>
    <w:rsid w:val="003E147C"/>
    <w:rsid w:val="003E1EF3"/>
    <w:rsid w:val="003E269E"/>
    <w:rsid w:val="003E2E43"/>
    <w:rsid w:val="003E440F"/>
    <w:rsid w:val="003E5319"/>
    <w:rsid w:val="003E5F1D"/>
    <w:rsid w:val="003F5230"/>
    <w:rsid w:val="003F5584"/>
    <w:rsid w:val="00404615"/>
    <w:rsid w:val="00405697"/>
    <w:rsid w:val="00407776"/>
    <w:rsid w:val="00410466"/>
    <w:rsid w:val="00420B58"/>
    <w:rsid w:val="00421285"/>
    <w:rsid w:val="004254BC"/>
    <w:rsid w:val="00427353"/>
    <w:rsid w:val="0043564D"/>
    <w:rsid w:val="0043628A"/>
    <w:rsid w:val="0044289A"/>
    <w:rsid w:val="004439C9"/>
    <w:rsid w:val="00444AE6"/>
    <w:rsid w:val="00444DAC"/>
    <w:rsid w:val="004478FD"/>
    <w:rsid w:val="004517DE"/>
    <w:rsid w:val="00454DFD"/>
    <w:rsid w:val="0045616C"/>
    <w:rsid w:val="0046248C"/>
    <w:rsid w:val="004700B3"/>
    <w:rsid w:val="0048446C"/>
    <w:rsid w:val="004846EB"/>
    <w:rsid w:val="00491C59"/>
    <w:rsid w:val="00494111"/>
    <w:rsid w:val="004B016F"/>
    <w:rsid w:val="004B16AD"/>
    <w:rsid w:val="004B1BF8"/>
    <w:rsid w:val="004B55FE"/>
    <w:rsid w:val="004B79E5"/>
    <w:rsid w:val="004B7DAE"/>
    <w:rsid w:val="004D43A4"/>
    <w:rsid w:val="004E0138"/>
    <w:rsid w:val="004E1A1C"/>
    <w:rsid w:val="004E2389"/>
    <w:rsid w:val="004E79A4"/>
    <w:rsid w:val="004F2A3C"/>
    <w:rsid w:val="004F2E85"/>
    <w:rsid w:val="004F3D6F"/>
    <w:rsid w:val="005009F3"/>
    <w:rsid w:val="005015FA"/>
    <w:rsid w:val="0051056D"/>
    <w:rsid w:val="00522674"/>
    <w:rsid w:val="005243E7"/>
    <w:rsid w:val="005246F4"/>
    <w:rsid w:val="005331C9"/>
    <w:rsid w:val="005362EE"/>
    <w:rsid w:val="00540372"/>
    <w:rsid w:val="00540AB6"/>
    <w:rsid w:val="0055219D"/>
    <w:rsid w:val="0055353F"/>
    <w:rsid w:val="0056633F"/>
    <w:rsid w:val="005713E5"/>
    <w:rsid w:val="00584196"/>
    <w:rsid w:val="005A435A"/>
    <w:rsid w:val="005A7E5E"/>
    <w:rsid w:val="005B0C40"/>
    <w:rsid w:val="005C0C10"/>
    <w:rsid w:val="005C5F51"/>
    <w:rsid w:val="005D002D"/>
    <w:rsid w:val="005D15BB"/>
    <w:rsid w:val="005D23BE"/>
    <w:rsid w:val="005D620B"/>
    <w:rsid w:val="005E259B"/>
    <w:rsid w:val="006025ED"/>
    <w:rsid w:val="00604262"/>
    <w:rsid w:val="0061089F"/>
    <w:rsid w:val="00610EE7"/>
    <w:rsid w:val="006149DB"/>
    <w:rsid w:val="006175EA"/>
    <w:rsid w:val="00620780"/>
    <w:rsid w:val="00621D1C"/>
    <w:rsid w:val="00622E82"/>
    <w:rsid w:val="006262B0"/>
    <w:rsid w:val="00630061"/>
    <w:rsid w:val="00633235"/>
    <w:rsid w:val="006366A1"/>
    <w:rsid w:val="00646185"/>
    <w:rsid w:val="00651E0B"/>
    <w:rsid w:val="0065325A"/>
    <w:rsid w:val="006619CA"/>
    <w:rsid w:val="006653AD"/>
    <w:rsid w:val="00673123"/>
    <w:rsid w:val="00674316"/>
    <w:rsid w:val="006759F6"/>
    <w:rsid w:val="00682F67"/>
    <w:rsid w:val="006831BF"/>
    <w:rsid w:val="00684E74"/>
    <w:rsid w:val="00693282"/>
    <w:rsid w:val="00697BAD"/>
    <w:rsid w:val="00697C48"/>
    <w:rsid w:val="006A1801"/>
    <w:rsid w:val="006A1ADD"/>
    <w:rsid w:val="006A4A6D"/>
    <w:rsid w:val="006A7352"/>
    <w:rsid w:val="006C3975"/>
    <w:rsid w:val="006D22C5"/>
    <w:rsid w:val="006D5F89"/>
    <w:rsid w:val="006F4D67"/>
    <w:rsid w:val="00705C18"/>
    <w:rsid w:val="00706376"/>
    <w:rsid w:val="00711095"/>
    <w:rsid w:val="00720600"/>
    <w:rsid w:val="007353C1"/>
    <w:rsid w:val="007366A2"/>
    <w:rsid w:val="007436A9"/>
    <w:rsid w:val="007443D9"/>
    <w:rsid w:val="007517A1"/>
    <w:rsid w:val="00753AB0"/>
    <w:rsid w:val="00753B0B"/>
    <w:rsid w:val="00757A95"/>
    <w:rsid w:val="007678B0"/>
    <w:rsid w:val="00770BF1"/>
    <w:rsid w:val="00774E81"/>
    <w:rsid w:val="00783EA1"/>
    <w:rsid w:val="00785740"/>
    <w:rsid w:val="00786E11"/>
    <w:rsid w:val="0078781A"/>
    <w:rsid w:val="007913AD"/>
    <w:rsid w:val="007A3DE6"/>
    <w:rsid w:val="007A4CF7"/>
    <w:rsid w:val="007A5346"/>
    <w:rsid w:val="007A7452"/>
    <w:rsid w:val="007B1B14"/>
    <w:rsid w:val="007B1E80"/>
    <w:rsid w:val="007B4D81"/>
    <w:rsid w:val="007B704C"/>
    <w:rsid w:val="007B7199"/>
    <w:rsid w:val="007C1C52"/>
    <w:rsid w:val="007C4E57"/>
    <w:rsid w:val="007C69D6"/>
    <w:rsid w:val="007D07E0"/>
    <w:rsid w:val="007D1F60"/>
    <w:rsid w:val="007D5215"/>
    <w:rsid w:val="007D6524"/>
    <w:rsid w:val="007E03C8"/>
    <w:rsid w:val="007E0BF8"/>
    <w:rsid w:val="007E6A87"/>
    <w:rsid w:val="007F2420"/>
    <w:rsid w:val="007F3BDD"/>
    <w:rsid w:val="007F4B2F"/>
    <w:rsid w:val="008054B4"/>
    <w:rsid w:val="008104BF"/>
    <w:rsid w:val="00814A62"/>
    <w:rsid w:val="00817D6F"/>
    <w:rsid w:val="00821D28"/>
    <w:rsid w:val="00822503"/>
    <w:rsid w:val="008251EB"/>
    <w:rsid w:val="00834EB1"/>
    <w:rsid w:val="00837FE5"/>
    <w:rsid w:val="00841BC1"/>
    <w:rsid w:val="00842156"/>
    <w:rsid w:val="00845732"/>
    <w:rsid w:val="008469C3"/>
    <w:rsid w:val="008523DE"/>
    <w:rsid w:val="008539CC"/>
    <w:rsid w:val="008572D9"/>
    <w:rsid w:val="00861E13"/>
    <w:rsid w:val="0086423E"/>
    <w:rsid w:val="00883392"/>
    <w:rsid w:val="00887A2E"/>
    <w:rsid w:val="00892496"/>
    <w:rsid w:val="008A6C19"/>
    <w:rsid w:val="008A6F22"/>
    <w:rsid w:val="008B17B1"/>
    <w:rsid w:val="008B22D4"/>
    <w:rsid w:val="008B5D8F"/>
    <w:rsid w:val="008C0507"/>
    <w:rsid w:val="008C7EDB"/>
    <w:rsid w:val="008D0497"/>
    <w:rsid w:val="008D46F5"/>
    <w:rsid w:val="008D65F6"/>
    <w:rsid w:val="008E07ED"/>
    <w:rsid w:val="008E3412"/>
    <w:rsid w:val="008E4310"/>
    <w:rsid w:val="008F4BAD"/>
    <w:rsid w:val="008F4E0B"/>
    <w:rsid w:val="00900674"/>
    <w:rsid w:val="00900D43"/>
    <w:rsid w:val="00907866"/>
    <w:rsid w:val="0092221B"/>
    <w:rsid w:val="009453E1"/>
    <w:rsid w:val="00946962"/>
    <w:rsid w:val="009474B8"/>
    <w:rsid w:val="00950194"/>
    <w:rsid w:val="0095451D"/>
    <w:rsid w:val="0095655B"/>
    <w:rsid w:val="009571D7"/>
    <w:rsid w:val="009576A8"/>
    <w:rsid w:val="00964091"/>
    <w:rsid w:val="00971F63"/>
    <w:rsid w:val="00976DA8"/>
    <w:rsid w:val="00976E3A"/>
    <w:rsid w:val="00977D93"/>
    <w:rsid w:val="0098141D"/>
    <w:rsid w:val="0099071A"/>
    <w:rsid w:val="009A199C"/>
    <w:rsid w:val="009A1E0A"/>
    <w:rsid w:val="009A3790"/>
    <w:rsid w:val="009A704B"/>
    <w:rsid w:val="009A78FD"/>
    <w:rsid w:val="009C0788"/>
    <w:rsid w:val="009C0D18"/>
    <w:rsid w:val="009C0F73"/>
    <w:rsid w:val="009C5027"/>
    <w:rsid w:val="009D393A"/>
    <w:rsid w:val="009D4D87"/>
    <w:rsid w:val="009E3BCF"/>
    <w:rsid w:val="009F38B3"/>
    <w:rsid w:val="009F6CE7"/>
    <w:rsid w:val="00A07960"/>
    <w:rsid w:val="00A16729"/>
    <w:rsid w:val="00A25B75"/>
    <w:rsid w:val="00A34A3A"/>
    <w:rsid w:val="00A360A7"/>
    <w:rsid w:val="00A369D7"/>
    <w:rsid w:val="00A41250"/>
    <w:rsid w:val="00A41D4E"/>
    <w:rsid w:val="00A50A9B"/>
    <w:rsid w:val="00A52A8F"/>
    <w:rsid w:val="00A63844"/>
    <w:rsid w:val="00A640FF"/>
    <w:rsid w:val="00A70722"/>
    <w:rsid w:val="00A71E81"/>
    <w:rsid w:val="00A72E26"/>
    <w:rsid w:val="00A83B38"/>
    <w:rsid w:val="00A84564"/>
    <w:rsid w:val="00A9139E"/>
    <w:rsid w:val="00A9457A"/>
    <w:rsid w:val="00AA0F9E"/>
    <w:rsid w:val="00AA6010"/>
    <w:rsid w:val="00AA7024"/>
    <w:rsid w:val="00AB19A6"/>
    <w:rsid w:val="00AC710A"/>
    <w:rsid w:val="00AD22FA"/>
    <w:rsid w:val="00AD6EC2"/>
    <w:rsid w:val="00AE4C26"/>
    <w:rsid w:val="00AF2204"/>
    <w:rsid w:val="00B012F3"/>
    <w:rsid w:val="00B01E87"/>
    <w:rsid w:val="00B1273F"/>
    <w:rsid w:val="00B172FD"/>
    <w:rsid w:val="00B21F36"/>
    <w:rsid w:val="00B44C34"/>
    <w:rsid w:val="00B459C8"/>
    <w:rsid w:val="00B46712"/>
    <w:rsid w:val="00B53493"/>
    <w:rsid w:val="00B55D18"/>
    <w:rsid w:val="00B56CC8"/>
    <w:rsid w:val="00B61EB3"/>
    <w:rsid w:val="00B65281"/>
    <w:rsid w:val="00B668FB"/>
    <w:rsid w:val="00B72DDF"/>
    <w:rsid w:val="00B744D1"/>
    <w:rsid w:val="00B76B8E"/>
    <w:rsid w:val="00B8347A"/>
    <w:rsid w:val="00B84A4E"/>
    <w:rsid w:val="00B90A0A"/>
    <w:rsid w:val="00B92402"/>
    <w:rsid w:val="00BA45AE"/>
    <w:rsid w:val="00BA4F4A"/>
    <w:rsid w:val="00BA5634"/>
    <w:rsid w:val="00BA66AD"/>
    <w:rsid w:val="00BB4604"/>
    <w:rsid w:val="00BB49AA"/>
    <w:rsid w:val="00BB6906"/>
    <w:rsid w:val="00BC2DD3"/>
    <w:rsid w:val="00BC54E0"/>
    <w:rsid w:val="00BC67B1"/>
    <w:rsid w:val="00BD1551"/>
    <w:rsid w:val="00BD4E87"/>
    <w:rsid w:val="00BD6425"/>
    <w:rsid w:val="00BD7CF3"/>
    <w:rsid w:val="00BE16D4"/>
    <w:rsid w:val="00BE517A"/>
    <w:rsid w:val="00BE7719"/>
    <w:rsid w:val="00BF15C1"/>
    <w:rsid w:val="00BF2C53"/>
    <w:rsid w:val="00BF5ACD"/>
    <w:rsid w:val="00C000C3"/>
    <w:rsid w:val="00C02E60"/>
    <w:rsid w:val="00C040ED"/>
    <w:rsid w:val="00C10095"/>
    <w:rsid w:val="00C150BA"/>
    <w:rsid w:val="00C240FD"/>
    <w:rsid w:val="00C24374"/>
    <w:rsid w:val="00C24C10"/>
    <w:rsid w:val="00C26EBE"/>
    <w:rsid w:val="00C302EF"/>
    <w:rsid w:val="00C3490A"/>
    <w:rsid w:val="00C432C3"/>
    <w:rsid w:val="00C47509"/>
    <w:rsid w:val="00C74C53"/>
    <w:rsid w:val="00C74D9B"/>
    <w:rsid w:val="00C750B9"/>
    <w:rsid w:val="00C8089D"/>
    <w:rsid w:val="00C95BA3"/>
    <w:rsid w:val="00C97431"/>
    <w:rsid w:val="00CA10B0"/>
    <w:rsid w:val="00CA3F4F"/>
    <w:rsid w:val="00CB0921"/>
    <w:rsid w:val="00CC6EBF"/>
    <w:rsid w:val="00CD7CBE"/>
    <w:rsid w:val="00CF4CF5"/>
    <w:rsid w:val="00CF575D"/>
    <w:rsid w:val="00D075E5"/>
    <w:rsid w:val="00D132A4"/>
    <w:rsid w:val="00D156CC"/>
    <w:rsid w:val="00D20408"/>
    <w:rsid w:val="00D241D3"/>
    <w:rsid w:val="00D24EC3"/>
    <w:rsid w:val="00D253E1"/>
    <w:rsid w:val="00D27FA8"/>
    <w:rsid w:val="00D365D3"/>
    <w:rsid w:val="00D42F7B"/>
    <w:rsid w:val="00D4374E"/>
    <w:rsid w:val="00D44172"/>
    <w:rsid w:val="00D46048"/>
    <w:rsid w:val="00D55089"/>
    <w:rsid w:val="00D6315E"/>
    <w:rsid w:val="00D65684"/>
    <w:rsid w:val="00D65E0E"/>
    <w:rsid w:val="00D77194"/>
    <w:rsid w:val="00D963A8"/>
    <w:rsid w:val="00DA76FA"/>
    <w:rsid w:val="00DB1FB1"/>
    <w:rsid w:val="00DB2B49"/>
    <w:rsid w:val="00DC1AE1"/>
    <w:rsid w:val="00DC287D"/>
    <w:rsid w:val="00DC28FE"/>
    <w:rsid w:val="00DC290C"/>
    <w:rsid w:val="00DC33B4"/>
    <w:rsid w:val="00DD173B"/>
    <w:rsid w:val="00DD4656"/>
    <w:rsid w:val="00DD6715"/>
    <w:rsid w:val="00DE1C9B"/>
    <w:rsid w:val="00DE1DDE"/>
    <w:rsid w:val="00DE2453"/>
    <w:rsid w:val="00DE6353"/>
    <w:rsid w:val="00DF01DF"/>
    <w:rsid w:val="00DF446C"/>
    <w:rsid w:val="00DF7675"/>
    <w:rsid w:val="00E0131E"/>
    <w:rsid w:val="00E018FB"/>
    <w:rsid w:val="00E10715"/>
    <w:rsid w:val="00E1180C"/>
    <w:rsid w:val="00E135C8"/>
    <w:rsid w:val="00E17257"/>
    <w:rsid w:val="00E21BDE"/>
    <w:rsid w:val="00E21DC0"/>
    <w:rsid w:val="00E221E6"/>
    <w:rsid w:val="00E323B3"/>
    <w:rsid w:val="00E36749"/>
    <w:rsid w:val="00E408C5"/>
    <w:rsid w:val="00E4175B"/>
    <w:rsid w:val="00E41B69"/>
    <w:rsid w:val="00E4248F"/>
    <w:rsid w:val="00E4361B"/>
    <w:rsid w:val="00E50385"/>
    <w:rsid w:val="00E50F1E"/>
    <w:rsid w:val="00E52B87"/>
    <w:rsid w:val="00E53B34"/>
    <w:rsid w:val="00E55111"/>
    <w:rsid w:val="00E61830"/>
    <w:rsid w:val="00E66D2B"/>
    <w:rsid w:val="00E6763B"/>
    <w:rsid w:val="00E72BD1"/>
    <w:rsid w:val="00E756DF"/>
    <w:rsid w:val="00E76D17"/>
    <w:rsid w:val="00E80319"/>
    <w:rsid w:val="00E8358B"/>
    <w:rsid w:val="00E84799"/>
    <w:rsid w:val="00E85F87"/>
    <w:rsid w:val="00EA427E"/>
    <w:rsid w:val="00EA5CC6"/>
    <w:rsid w:val="00EA70FA"/>
    <w:rsid w:val="00EA7821"/>
    <w:rsid w:val="00EB58BD"/>
    <w:rsid w:val="00EB6A20"/>
    <w:rsid w:val="00EB6D30"/>
    <w:rsid w:val="00EC0FFC"/>
    <w:rsid w:val="00EC3CE8"/>
    <w:rsid w:val="00EC6264"/>
    <w:rsid w:val="00EC748D"/>
    <w:rsid w:val="00EC7EDB"/>
    <w:rsid w:val="00ED2E33"/>
    <w:rsid w:val="00ED3024"/>
    <w:rsid w:val="00ED3E03"/>
    <w:rsid w:val="00ED71B6"/>
    <w:rsid w:val="00EE0AB0"/>
    <w:rsid w:val="00EE2183"/>
    <w:rsid w:val="00EE5474"/>
    <w:rsid w:val="00EE67BB"/>
    <w:rsid w:val="00EF0E10"/>
    <w:rsid w:val="00EF2076"/>
    <w:rsid w:val="00EF21F3"/>
    <w:rsid w:val="00EF2AFB"/>
    <w:rsid w:val="00F04BAD"/>
    <w:rsid w:val="00F07FC7"/>
    <w:rsid w:val="00F156AA"/>
    <w:rsid w:val="00F256DE"/>
    <w:rsid w:val="00F2655E"/>
    <w:rsid w:val="00F32FFF"/>
    <w:rsid w:val="00F33D5C"/>
    <w:rsid w:val="00F431FB"/>
    <w:rsid w:val="00F5010F"/>
    <w:rsid w:val="00F53ACB"/>
    <w:rsid w:val="00F562F1"/>
    <w:rsid w:val="00F56D17"/>
    <w:rsid w:val="00F60A40"/>
    <w:rsid w:val="00F60E46"/>
    <w:rsid w:val="00F6184E"/>
    <w:rsid w:val="00F75231"/>
    <w:rsid w:val="00F77F20"/>
    <w:rsid w:val="00F8007E"/>
    <w:rsid w:val="00F80265"/>
    <w:rsid w:val="00F81C8A"/>
    <w:rsid w:val="00F82594"/>
    <w:rsid w:val="00F84805"/>
    <w:rsid w:val="00F85E41"/>
    <w:rsid w:val="00F90374"/>
    <w:rsid w:val="00F978A9"/>
    <w:rsid w:val="00FA0A65"/>
    <w:rsid w:val="00FA2B02"/>
    <w:rsid w:val="00FA4E3E"/>
    <w:rsid w:val="00FB1115"/>
    <w:rsid w:val="00FB4AE4"/>
    <w:rsid w:val="00FC1080"/>
    <w:rsid w:val="00FC27D4"/>
    <w:rsid w:val="00FC5B5A"/>
    <w:rsid w:val="00FD3971"/>
    <w:rsid w:val="00FD5739"/>
    <w:rsid w:val="00FE284A"/>
    <w:rsid w:val="00FE5CDD"/>
    <w:rsid w:val="00FE7A02"/>
    <w:rsid w:val="00FF1EBD"/>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14:docId w14:val="5CB62E28"/>
  <w15:docId w15:val="{B0398CB8-EE13-4A1B-BDB8-B05E8A2B1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E1A1C"/>
    <w:pPr>
      <w:spacing w:before="0" w:after="0"/>
    </w:pPr>
  </w:style>
  <w:style w:type="paragraph" w:styleId="Heading1">
    <w:name w:val="heading 1"/>
    <w:basedOn w:val="Normal"/>
    <w:next w:val="BodyText"/>
    <w:link w:val="Heading1Char"/>
    <w:uiPriority w:val="9"/>
    <w:qFormat/>
    <w:rsid w:val="004E1A1C"/>
    <w:pPr>
      <w:keepNext/>
      <w:keepLines/>
      <w:widowControl w:val="0"/>
      <w:tabs>
        <w:tab w:val="right" w:leader="dot" w:pos="8789"/>
      </w:tabs>
      <w:spacing w:before="240" w:after="120"/>
      <w:outlineLvl w:val="0"/>
    </w:pPr>
    <w:rPr>
      <w:rFonts w:asciiTheme="majorHAnsi" w:eastAsia="Times New Roman" w:hAnsiTheme="majorHAnsi" w:cs="Arial"/>
      <w:b/>
      <w:bCs/>
      <w:color w:val="004B8D" w:themeColor="accent1"/>
      <w:kern w:val="32"/>
      <w:sz w:val="28"/>
      <w:szCs w:val="32"/>
      <w:lang w:eastAsia="en-AU"/>
    </w:rPr>
  </w:style>
  <w:style w:type="paragraph" w:styleId="Heading2">
    <w:name w:val="heading 2"/>
    <w:basedOn w:val="Normal"/>
    <w:next w:val="BodyText"/>
    <w:link w:val="Heading2Char"/>
    <w:qFormat/>
    <w:rsid w:val="00F77F20"/>
    <w:pPr>
      <w:keepNext/>
      <w:keepLines/>
      <w:spacing w:before="240" w:after="120"/>
      <w:outlineLvl w:val="1"/>
    </w:pPr>
    <w:rPr>
      <w:rFonts w:asciiTheme="majorHAnsi" w:eastAsia="Times New Roman" w:hAnsiTheme="majorHAnsi" w:cs="Arial"/>
      <w:b/>
      <w:bCs/>
      <w:iCs/>
      <w:color w:val="004B8D" w:themeColor="accent1"/>
      <w:sz w:val="24"/>
      <w:szCs w:val="28"/>
      <w:lang w:eastAsia="en-AU"/>
    </w:rPr>
  </w:style>
  <w:style w:type="paragraph" w:styleId="Heading3">
    <w:name w:val="heading 3"/>
    <w:basedOn w:val="Normal"/>
    <w:next w:val="BodyText"/>
    <w:link w:val="Heading3Char"/>
    <w:qFormat/>
    <w:rsid w:val="004E1A1C"/>
    <w:pPr>
      <w:keepNext/>
      <w:keepLines/>
      <w:spacing w:before="240" w:after="120"/>
      <w:outlineLvl w:val="2"/>
    </w:pPr>
    <w:rPr>
      <w:rFonts w:asciiTheme="majorHAnsi" w:eastAsia="Times New Roman" w:hAnsiTheme="majorHAnsi" w:cs="Times New Roman"/>
      <w:b/>
      <w:bCs/>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uiPriority w:val="9"/>
    <w:rsid w:val="004E1A1C"/>
    <w:rPr>
      <w:rFonts w:asciiTheme="majorHAnsi" w:eastAsia="Times New Roman" w:hAnsiTheme="majorHAnsi" w:cs="Arial"/>
      <w:b/>
      <w:bCs/>
      <w:color w:val="004B8D" w:themeColor="accent1"/>
      <w:kern w:val="32"/>
      <w:sz w:val="28"/>
      <w:szCs w:val="32"/>
      <w:lang w:eastAsia="en-AU"/>
    </w:rPr>
  </w:style>
  <w:style w:type="character" w:customStyle="1" w:styleId="Heading2Char">
    <w:name w:val="Heading 2 Char"/>
    <w:basedOn w:val="DefaultParagraphFont"/>
    <w:link w:val="Heading2"/>
    <w:rsid w:val="00F77F20"/>
    <w:rPr>
      <w:rFonts w:asciiTheme="majorHAnsi" w:eastAsia="Times New Roman" w:hAnsiTheme="majorHAnsi" w:cs="Arial"/>
      <w:b/>
      <w:bCs/>
      <w:iCs/>
      <w:color w:val="004B8D" w:themeColor="accent1"/>
      <w:sz w:val="24"/>
      <w:szCs w:val="28"/>
      <w:lang w:eastAsia="en-AU"/>
    </w:rPr>
  </w:style>
  <w:style w:type="character" w:customStyle="1" w:styleId="Heading3Char">
    <w:name w:val="Heading 3 Char"/>
    <w:basedOn w:val="DefaultParagraphFont"/>
    <w:link w:val="Heading3"/>
    <w:rsid w:val="004E1A1C"/>
    <w:rPr>
      <w:rFonts w:asciiTheme="majorHAnsi" w:eastAsia="Times New Roman" w:hAnsiTheme="majorHAnsi" w:cs="Times New Roman"/>
      <w:b/>
      <w:bCs/>
      <w:szCs w:val="24"/>
      <w:lang w:eastAsia="en-AU"/>
    </w:rPr>
  </w:style>
  <w:style w:type="character" w:customStyle="1" w:styleId="Heading4Char">
    <w:name w:val="Heading 4 Char"/>
    <w:basedOn w:val="DefaultParagraphFont"/>
    <w:link w:val="Heading4"/>
    <w:semiHidden/>
    <w:rsid w:val="00A9139E"/>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qFormat/>
    <w:rsid w:val="004E1A1C"/>
    <w:pPr>
      <w:numPr>
        <w:numId w:val="16"/>
      </w:numPr>
    </w:pPr>
  </w:style>
  <w:style w:type="paragraph" w:customStyle="1" w:styleId="NbrHeading2">
    <w:name w:val="Nbr Heading 2"/>
    <w:basedOn w:val="Heading2"/>
    <w:qFormat/>
    <w:rsid w:val="004E1A1C"/>
    <w:pPr>
      <w:numPr>
        <w:ilvl w:val="1"/>
        <w:numId w:val="16"/>
      </w:numPr>
    </w:pPr>
  </w:style>
  <w:style w:type="paragraph" w:customStyle="1" w:styleId="NbrHeading3">
    <w:name w:val="Nbr Heading 3"/>
    <w:basedOn w:val="Heading3"/>
    <w:qFormat/>
    <w:rsid w:val="004E1A1C"/>
    <w:pPr>
      <w:numPr>
        <w:ilvl w:val="2"/>
        <w:numId w:val="16"/>
      </w:numPr>
    </w:pPr>
  </w:style>
  <w:style w:type="paragraph" w:customStyle="1" w:styleId="NbrHeading4">
    <w:name w:val="Nbr Heading 4"/>
    <w:basedOn w:val="Heading4"/>
    <w:next w:val="BodyText"/>
    <w:semiHidden/>
    <w:qFormat/>
    <w:rsid w:val="003A08A5"/>
  </w:style>
  <w:style w:type="paragraph" w:styleId="Title">
    <w:name w:val="Title"/>
    <w:basedOn w:val="Normal"/>
    <w:next w:val="BodyText"/>
    <w:link w:val="TitleChar"/>
    <w:uiPriority w:val="9"/>
    <w:rsid w:val="00C3490A"/>
    <w:pPr>
      <w:spacing w:before="360" w:after="720"/>
    </w:pPr>
    <w:rPr>
      <w:rFonts w:asciiTheme="majorHAnsi" w:eastAsiaTheme="majorEastAsia" w:hAnsiTheme="majorHAnsi" w:cstheme="majorBidi"/>
      <w:color w:val="004B8D" w:themeColor="accent1"/>
      <w:sz w:val="48"/>
      <w:szCs w:val="72"/>
    </w:rPr>
  </w:style>
  <w:style w:type="character" w:customStyle="1" w:styleId="TitleChar">
    <w:name w:val="Title Char"/>
    <w:basedOn w:val="DefaultParagraphFont"/>
    <w:link w:val="Title"/>
    <w:uiPriority w:val="9"/>
    <w:rsid w:val="00C3490A"/>
    <w:rPr>
      <w:rFonts w:asciiTheme="majorHAnsi" w:eastAsiaTheme="majorEastAsia" w:hAnsiTheme="majorHAnsi" w:cstheme="majorBidi"/>
      <w:color w:val="004B8D" w:themeColor="accent1"/>
      <w:sz w:val="48"/>
      <w:szCs w:val="72"/>
    </w:rPr>
  </w:style>
  <w:style w:type="paragraph" w:styleId="Subtitle">
    <w:name w:val="Subtitle"/>
    <w:basedOn w:val="Normal"/>
    <w:next w:val="BodyText"/>
    <w:link w:val="SubtitleChar"/>
    <w:uiPriority w:val="10"/>
    <w:rsid w:val="00837FE5"/>
    <w:pPr>
      <w:numPr>
        <w:ilvl w:val="1"/>
      </w:numPr>
      <w:spacing w:before="240" w:after="240"/>
    </w:pPr>
    <w:rPr>
      <w:rFonts w:asciiTheme="majorHAnsi" w:eastAsiaTheme="majorEastAsia" w:hAnsiTheme="majorHAnsi" w:cstheme="majorBidi"/>
      <w:iCs/>
      <w:color w:val="004B8D" w:themeColor="accent1"/>
      <w:sz w:val="40"/>
      <w:szCs w:val="24"/>
    </w:rPr>
  </w:style>
  <w:style w:type="character" w:customStyle="1" w:styleId="SubtitleChar">
    <w:name w:val="Subtitle Char"/>
    <w:basedOn w:val="DefaultParagraphFont"/>
    <w:link w:val="Subtitle"/>
    <w:uiPriority w:val="10"/>
    <w:rsid w:val="00837FE5"/>
    <w:rPr>
      <w:rFonts w:asciiTheme="majorHAnsi" w:eastAsiaTheme="majorEastAsia" w:hAnsiTheme="majorHAnsi" w:cstheme="majorBidi"/>
      <w:iCs/>
      <w:color w:val="004B8D" w:themeColor="accent1"/>
      <w:sz w:val="40"/>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rsid w:val="00FC27D4"/>
    <w:pPr>
      <w:tabs>
        <w:tab w:val="left" w:pos="567"/>
        <w:tab w:val="right" w:pos="9639"/>
      </w:tabs>
    </w:pPr>
    <w:rPr>
      <w:noProof/>
    </w:rPr>
  </w:style>
  <w:style w:type="character" w:customStyle="1" w:styleId="FooterChar">
    <w:name w:val="Footer Char"/>
    <w:basedOn w:val="DefaultParagraphFont"/>
    <w:link w:val="Footer"/>
    <w:uiPriority w:val="99"/>
    <w:rsid w:val="00FC27D4"/>
    <w:rPr>
      <w:noProof/>
      <w:sz w:val="24"/>
    </w:rPr>
  </w:style>
  <w:style w:type="paragraph" w:styleId="ListNumber0">
    <w:name w:val="List Number"/>
    <w:basedOn w:val="Normal"/>
    <w:uiPriority w:val="1"/>
    <w:qFormat/>
    <w:rsid w:val="00CA10B0"/>
    <w:pPr>
      <w:numPr>
        <w:numId w:val="11"/>
      </w:numPr>
      <w:spacing w:before="120" w:line="264" w:lineRule="auto"/>
    </w:pPr>
    <w:rPr>
      <w:rFonts w:eastAsia="Times New Roman" w:cs="Times New Roman"/>
      <w:szCs w:val="24"/>
      <w:lang w:eastAsia="en-AU"/>
    </w:rPr>
  </w:style>
  <w:style w:type="paragraph" w:styleId="ListBullet0">
    <w:name w:val="List Bullet"/>
    <w:basedOn w:val="Normal"/>
    <w:uiPriority w:val="1"/>
    <w:qFormat/>
    <w:rsid w:val="002F652D"/>
    <w:pPr>
      <w:numPr>
        <w:numId w:val="14"/>
      </w:numPr>
      <w:spacing w:before="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rsid w:val="00E17257"/>
    <w:rPr>
      <w:color w:val="004B8D" w:themeColor="accent1"/>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CA10B0"/>
    <w:pPr>
      <w:spacing w:before="60" w:after="60"/>
    </w:pPr>
    <w:rPr>
      <w:b/>
      <w:color w:val="FFFFFF" w:themeColor="background1"/>
    </w:rPr>
  </w:style>
  <w:style w:type="paragraph" w:customStyle="1" w:styleId="TableBody">
    <w:name w:val="Table Body"/>
    <w:basedOn w:val="Normal"/>
    <w:uiPriority w:val="3"/>
    <w:qFormat/>
    <w:rsid w:val="006C3975"/>
    <w:pPr>
      <w:spacing w:before="60" w:after="60"/>
    </w:pPr>
  </w:style>
  <w:style w:type="paragraph" w:customStyle="1" w:styleId="TableBullet">
    <w:name w:val="Table Bullet"/>
    <w:basedOn w:val="Normal"/>
    <w:uiPriority w:val="4"/>
    <w:qFormat/>
    <w:rsid w:val="002F652D"/>
    <w:pPr>
      <w:numPr>
        <w:numId w:val="15"/>
      </w:numPr>
      <w:spacing w:before="60" w:after="60"/>
    </w:pPr>
    <w:rPr>
      <w:rFonts w:eastAsia="Times New Roman" w:cs="Times New Roman"/>
      <w:szCs w:val="24"/>
      <w:lang w:eastAsia="en-AU"/>
    </w:rPr>
  </w:style>
  <w:style w:type="paragraph" w:customStyle="1" w:styleId="TableNumber">
    <w:name w:val="Table Number"/>
    <w:basedOn w:val="TableBody"/>
    <w:uiPriority w:val="4"/>
    <w:qFormat/>
    <w:rsid w:val="003A08A5"/>
    <w:pPr>
      <w:numPr>
        <w:numId w:val="13"/>
      </w:numPr>
    </w:pPr>
  </w:style>
  <w:style w:type="character" w:customStyle="1" w:styleId="Heading5Char">
    <w:name w:val="Heading 5 Char"/>
    <w:basedOn w:val="DefaultParagraphFont"/>
    <w:link w:val="Heading5"/>
    <w:semiHidden/>
    <w:rsid w:val="00A9139E"/>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semiHidden/>
    <w:qFormat/>
    <w:rsid w:val="003A08A5"/>
    <w:pPr>
      <w:numPr>
        <w:numId w:val="8"/>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qFormat/>
    <w:rsid w:val="003A08A5"/>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F5010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CA10B0"/>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CA10B0"/>
    <w:pPr>
      <w:numPr>
        <w:numId w:val="10"/>
      </w:numPr>
    </w:pPr>
  </w:style>
  <w:style w:type="numbering" w:customStyle="1" w:styleId="ListAlpha">
    <w:name w:val="List_Alpha"/>
    <w:uiPriority w:val="99"/>
    <w:rsid w:val="00CA10B0"/>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140E8B"/>
    <w:pPr>
      <w:tabs>
        <w:tab w:val="left" w:pos="1134"/>
        <w:tab w:val="left" w:pos="1559"/>
      </w:tabs>
      <w:spacing w:after="120" w:line="264" w:lineRule="auto"/>
    </w:pPr>
    <w:rPr>
      <w:noProof/>
      <w:sz w:val="24"/>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val="0"/>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CA10B0"/>
    <w:pPr>
      <w:numPr>
        <w:ilvl w:val="1"/>
      </w:numPr>
    </w:pPr>
  </w:style>
  <w:style w:type="paragraph" w:customStyle="1" w:styleId="ListAlpha3">
    <w:name w:val="List Alpha 3"/>
    <w:basedOn w:val="ListAlpha2"/>
    <w:uiPriority w:val="19"/>
    <w:rsid w:val="00CA10B0"/>
    <w:pPr>
      <w:numPr>
        <w:ilvl w:val="2"/>
      </w:numPr>
    </w:pPr>
  </w:style>
  <w:style w:type="paragraph" w:customStyle="1" w:styleId="ListAlpha4">
    <w:name w:val="List Alpha 4"/>
    <w:basedOn w:val="ListAlpha3"/>
    <w:uiPriority w:val="19"/>
    <w:rsid w:val="00CA10B0"/>
    <w:pPr>
      <w:numPr>
        <w:ilvl w:val="3"/>
      </w:numPr>
    </w:pPr>
  </w:style>
  <w:style w:type="paragraph" w:customStyle="1" w:styleId="ListAlpha6">
    <w:name w:val="List Alpha 6"/>
    <w:basedOn w:val="ListAlpha4"/>
    <w:uiPriority w:val="19"/>
    <w:rsid w:val="00CA10B0"/>
    <w:pPr>
      <w:numPr>
        <w:ilvl w:val="5"/>
      </w:numPr>
    </w:pPr>
  </w:style>
  <w:style w:type="paragraph" w:customStyle="1" w:styleId="ListAlpha5">
    <w:name w:val="List Alpha 5"/>
    <w:basedOn w:val="ListAlpha6"/>
    <w:uiPriority w:val="19"/>
    <w:rsid w:val="00CA10B0"/>
    <w:pPr>
      <w:numPr>
        <w:ilvl w:val="4"/>
        <w:numId w:val="12"/>
      </w:numPr>
    </w:pPr>
  </w:style>
  <w:style w:type="paragraph" w:styleId="ListBullet2">
    <w:name w:val="List Bullet 2"/>
    <w:basedOn w:val="ListBullet0"/>
    <w:uiPriority w:val="19"/>
    <w:rsid w:val="002F652D"/>
    <w:pPr>
      <w:numPr>
        <w:ilvl w:val="1"/>
      </w:numPr>
      <w:spacing w:after="120"/>
    </w:pPr>
  </w:style>
  <w:style w:type="paragraph" w:styleId="ListBullet3">
    <w:name w:val="List Bullet 3"/>
    <w:basedOn w:val="ListBullet0"/>
    <w:uiPriority w:val="19"/>
    <w:rsid w:val="002F652D"/>
    <w:pPr>
      <w:numPr>
        <w:ilvl w:val="2"/>
      </w:numPr>
      <w:spacing w:after="120"/>
    </w:pPr>
  </w:style>
  <w:style w:type="paragraph" w:styleId="ListBullet4">
    <w:name w:val="List Bullet 4"/>
    <w:basedOn w:val="ListBullet0"/>
    <w:uiPriority w:val="19"/>
    <w:rsid w:val="002F652D"/>
    <w:pPr>
      <w:numPr>
        <w:ilvl w:val="3"/>
      </w:numPr>
      <w:spacing w:after="120"/>
    </w:pPr>
  </w:style>
  <w:style w:type="paragraph" w:styleId="ListBullet5">
    <w:name w:val="List Bullet 5"/>
    <w:basedOn w:val="ListBullet0"/>
    <w:uiPriority w:val="19"/>
    <w:rsid w:val="002F652D"/>
    <w:pPr>
      <w:numPr>
        <w:ilvl w:val="4"/>
      </w:numPr>
      <w:spacing w:after="120"/>
    </w:pPr>
  </w:style>
  <w:style w:type="paragraph" w:customStyle="1" w:styleId="ListBullet6">
    <w:name w:val="List Bullet 6"/>
    <w:basedOn w:val="ListBullet0"/>
    <w:uiPriority w:val="19"/>
    <w:rsid w:val="002F652D"/>
    <w:pPr>
      <w:numPr>
        <w:ilvl w:val="5"/>
      </w:numPr>
      <w:spacing w:after="120"/>
    </w:pPr>
  </w:style>
  <w:style w:type="paragraph" w:styleId="ListNumber2">
    <w:name w:val="List Number 2"/>
    <w:basedOn w:val="ListNumber0"/>
    <w:uiPriority w:val="19"/>
    <w:rsid w:val="002E62B5"/>
    <w:pPr>
      <w:numPr>
        <w:ilvl w:val="1"/>
      </w:numPr>
      <w:spacing w:after="120"/>
    </w:pPr>
  </w:style>
  <w:style w:type="paragraph" w:styleId="ListNumber3">
    <w:name w:val="List Number 3"/>
    <w:basedOn w:val="ListNumber0"/>
    <w:uiPriority w:val="19"/>
    <w:rsid w:val="002E62B5"/>
    <w:pPr>
      <w:numPr>
        <w:ilvl w:val="2"/>
      </w:numPr>
      <w:spacing w:after="120"/>
      <w:ind w:left="1276"/>
    </w:pPr>
  </w:style>
  <w:style w:type="paragraph" w:styleId="ListNumber4">
    <w:name w:val="List Number 4"/>
    <w:basedOn w:val="ListNumber0"/>
    <w:uiPriority w:val="19"/>
    <w:rsid w:val="002E62B5"/>
    <w:pPr>
      <w:numPr>
        <w:ilvl w:val="3"/>
      </w:numPr>
      <w:spacing w:after="120"/>
      <w:ind w:left="1701"/>
    </w:pPr>
  </w:style>
  <w:style w:type="paragraph" w:styleId="ListNumber5">
    <w:name w:val="List Number 5"/>
    <w:basedOn w:val="ListNumber0"/>
    <w:uiPriority w:val="19"/>
    <w:rsid w:val="002E62B5"/>
    <w:pPr>
      <w:numPr>
        <w:ilvl w:val="4"/>
      </w:numPr>
      <w:spacing w:after="120"/>
      <w:ind w:left="2126"/>
    </w:pPr>
  </w:style>
  <w:style w:type="paragraph" w:customStyle="1" w:styleId="ListNumber6">
    <w:name w:val="List Number 6"/>
    <w:basedOn w:val="ListNumber0"/>
    <w:uiPriority w:val="19"/>
    <w:rsid w:val="002E62B5"/>
    <w:pPr>
      <w:numPr>
        <w:ilvl w:val="5"/>
      </w:numPr>
      <w:spacing w:after="120"/>
      <w:ind w:left="2551"/>
    </w:pPr>
  </w:style>
  <w:style w:type="paragraph" w:customStyle="1" w:styleId="ListParagraph2">
    <w:name w:val="List Paragraph 2"/>
    <w:basedOn w:val="ListParagraph0"/>
    <w:uiPriority w:val="19"/>
    <w:rsid w:val="004F2A3C"/>
    <w:pPr>
      <w:numPr>
        <w:ilvl w:val="1"/>
      </w:numPr>
    </w:pPr>
  </w:style>
  <w:style w:type="paragraph" w:customStyle="1" w:styleId="ListParagraph3">
    <w:name w:val="List Paragraph 3"/>
    <w:basedOn w:val="ListParagraph0"/>
    <w:uiPriority w:val="19"/>
    <w:rsid w:val="004F2A3C"/>
    <w:pPr>
      <w:numPr>
        <w:ilvl w:val="2"/>
      </w:numPr>
    </w:pPr>
  </w:style>
  <w:style w:type="paragraph" w:customStyle="1" w:styleId="ListParagraph4">
    <w:name w:val="List Paragraph 4"/>
    <w:basedOn w:val="ListParagraph0"/>
    <w:uiPriority w:val="19"/>
    <w:rsid w:val="004F2A3C"/>
    <w:pPr>
      <w:numPr>
        <w:ilvl w:val="3"/>
      </w:numPr>
    </w:pPr>
  </w:style>
  <w:style w:type="paragraph" w:customStyle="1" w:styleId="ListParagraph5">
    <w:name w:val="List Paragraph 5"/>
    <w:basedOn w:val="ListParagraph0"/>
    <w:uiPriority w:val="19"/>
    <w:rsid w:val="004F2A3C"/>
    <w:pPr>
      <w:numPr>
        <w:ilvl w:val="4"/>
      </w:numPr>
    </w:pPr>
  </w:style>
  <w:style w:type="paragraph" w:customStyle="1" w:styleId="ListParagraph6">
    <w:name w:val="List Paragraph 6"/>
    <w:basedOn w:val="ListParagraph0"/>
    <w:uiPriority w:val="19"/>
    <w:rsid w:val="004F2A3C"/>
    <w:pPr>
      <w:numPr>
        <w:ilvl w:val="5"/>
      </w:numPr>
    </w:pPr>
  </w:style>
  <w:style w:type="numbering" w:customStyle="1" w:styleId="ListBullet">
    <w:name w:val="List_Bullet"/>
    <w:uiPriority w:val="99"/>
    <w:rsid w:val="002F652D"/>
    <w:pPr>
      <w:numPr>
        <w:numId w:val="9"/>
      </w:numPr>
    </w:pPr>
  </w:style>
  <w:style w:type="numbering" w:customStyle="1" w:styleId="ListNumberedHeadings">
    <w:name w:val="List_NumberedHeadings"/>
    <w:uiPriority w:val="99"/>
    <w:rsid w:val="004E1A1C"/>
    <w:pPr>
      <w:numPr>
        <w:numId w:val="4"/>
      </w:numPr>
    </w:pPr>
  </w:style>
  <w:style w:type="numbering" w:customStyle="1" w:styleId="ListTableBullet">
    <w:name w:val="List_TableBullet"/>
    <w:uiPriority w:val="99"/>
    <w:rsid w:val="002F652D"/>
    <w:pPr>
      <w:numPr>
        <w:numId w:val="6"/>
      </w:numPr>
    </w:pPr>
  </w:style>
  <w:style w:type="numbering" w:customStyle="1" w:styleId="ListTableNumber">
    <w:name w:val="List_TableNumber"/>
    <w:uiPriority w:val="99"/>
    <w:rsid w:val="003A08A5"/>
    <w:pPr>
      <w:numPr>
        <w:numId w:val="7"/>
      </w:numPr>
    </w:pPr>
  </w:style>
  <w:style w:type="paragraph" w:customStyle="1" w:styleId="TableBullet2">
    <w:name w:val="Table Bullet 2"/>
    <w:basedOn w:val="TableBullet"/>
    <w:uiPriority w:val="19"/>
    <w:rsid w:val="002F652D"/>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6C3975"/>
    <w:rPr>
      <w:b w:val="0"/>
      <w:i/>
    </w:rPr>
  </w:style>
  <w:style w:type="table" w:customStyle="1" w:styleId="V2020Table">
    <w:name w:val="V2020 Table"/>
    <w:basedOn w:val="TableNormal"/>
    <w:uiPriority w:val="99"/>
    <w:rsid w:val="00E17257"/>
    <w:pPr>
      <w:spacing w:before="0"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tcPr>
      <w:shd w:val="clear" w:color="auto" w:fill="auto"/>
    </w:tcPr>
    <w:tblStylePr w:type="firstRow">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lastRow">
      <w:rPr>
        <w:b/>
      </w:rPr>
    </w:tblStylePr>
    <w:tblStylePr w:type="firstCol">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style>
  <w:style w:type="paragraph" w:customStyle="1" w:styleId="Indented">
    <w:name w:val="Indented"/>
    <w:basedOn w:val="BodyText"/>
    <w:uiPriority w:val="2"/>
    <w:qFormat/>
    <w:rsid w:val="007B1B14"/>
    <w:pPr>
      <w:ind w:left="567"/>
    </w:pPr>
  </w:style>
  <w:style w:type="paragraph" w:customStyle="1" w:styleId="Recommendation">
    <w:name w:val="Recommendation"/>
    <w:basedOn w:val="TableHeading"/>
    <w:uiPriority w:val="99"/>
    <w:qFormat/>
    <w:rsid w:val="00D44172"/>
    <w:rPr>
      <w:lang w:eastAsia="en-AU"/>
    </w:rPr>
  </w:style>
  <w:style w:type="table" w:styleId="TableGridLight">
    <w:name w:val="Grid Table Light"/>
    <w:basedOn w:val="TableNormal"/>
    <w:uiPriority w:val="40"/>
    <w:rsid w:val="003C20B8"/>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140653"/>
    <w:rPr>
      <w:color w:val="605E5C"/>
      <w:shd w:val="clear" w:color="auto" w:fill="E1DFDD"/>
    </w:rPr>
  </w:style>
  <w:style w:type="paragraph" w:customStyle="1" w:styleId="Default">
    <w:name w:val="Default"/>
    <w:rsid w:val="003F5230"/>
    <w:pPr>
      <w:autoSpaceDE w:val="0"/>
      <w:autoSpaceDN w:val="0"/>
      <w:adjustRightInd w:val="0"/>
      <w:spacing w:before="0" w:after="0"/>
    </w:pPr>
    <w:rPr>
      <w:rFonts w:ascii="Arial" w:hAnsi="Arial" w:cs="Arial"/>
      <w:color w:val="000000"/>
      <w:sz w:val="24"/>
      <w:szCs w:val="24"/>
    </w:rPr>
  </w:style>
  <w:style w:type="character" w:styleId="CommentReference">
    <w:name w:val="annotation reference"/>
    <w:basedOn w:val="DefaultParagraphFont"/>
    <w:uiPriority w:val="99"/>
    <w:semiHidden/>
    <w:unhideWhenUsed/>
    <w:rsid w:val="00E1180C"/>
    <w:rPr>
      <w:sz w:val="16"/>
      <w:szCs w:val="16"/>
    </w:rPr>
  </w:style>
  <w:style w:type="paragraph" w:styleId="CommentText">
    <w:name w:val="annotation text"/>
    <w:basedOn w:val="Normal"/>
    <w:link w:val="CommentTextChar"/>
    <w:uiPriority w:val="99"/>
    <w:unhideWhenUsed/>
    <w:rsid w:val="00E1180C"/>
    <w:rPr>
      <w:sz w:val="20"/>
      <w:szCs w:val="20"/>
    </w:rPr>
  </w:style>
  <w:style w:type="character" w:customStyle="1" w:styleId="CommentTextChar">
    <w:name w:val="Comment Text Char"/>
    <w:basedOn w:val="DefaultParagraphFont"/>
    <w:link w:val="CommentText"/>
    <w:uiPriority w:val="99"/>
    <w:rsid w:val="00E1180C"/>
    <w:rPr>
      <w:sz w:val="20"/>
      <w:szCs w:val="20"/>
    </w:rPr>
  </w:style>
  <w:style w:type="paragraph" w:styleId="CommentSubject">
    <w:name w:val="annotation subject"/>
    <w:basedOn w:val="CommentText"/>
    <w:next w:val="CommentText"/>
    <w:link w:val="CommentSubjectChar"/>
    <w:uiPriority w:val="99"/>
    <w:semiHidden/>
    <w:unhideWhenUsed/>
    <w:rsid w:val="00E1180C"/>
    <w:rPr>
      <w:b/>
      <w:bCs/>
    </w:rPr>
  </w:style>
  <w:style w:type="character" w:customStyle="1" w:styleId="CommentSubjectChar">
    <w:name w:val="Comment Subject Char"/>
    <w:basedOn w:val="CommentTextChar"/>
    <w:link w:val="CommentSubject"/>
    <w:uiPriority w:val="99"/>
    <w:semiHidden/>
    <w:rsid w:val="00E1180C"/>
    <w:rPr>
      <w:b/>
      <w:bCs/>
      <w:sz w:val="20"/>
      <w:szCs w:val="20"/>
    </w:rPr>
  </w:style>
  <w:style w:type="paragraph" w:styleId="FootnoteText">
    <w:name w:val="footnote text"/>
    <w:basedOn w:val="Normal"/>
    <w:link w:val="FootnoteTextChar"/>
    <w:uiPriority w:val="99"/>
    <w:semiHidden/>
    <w:unhideWhenUsed/>
    <w:rsid w:val="00137347"/>
    <w:rPr>
      <w:sz w:val="20"/>
      <w:szCs w:val="20"/>
    </w:rPr>
  </w:style>
  <w:style w:type="character" w:customStyle="1" w:styleId="FootnoteTextChar">
    <w:name w:val="Footnote Text Char"/>
    <w:basedOn w:val="DefaultParagraphFont"/>
    <w:link w:val="FootnoteText"/>
    <w:uiPriority w:val="99"/>
    <w:semiHidden/>
    <w:rsid w:val="00137347"/>
    <w:rPr>
      <w:sz w:val="20"/>
      <w:szCs w:val="20"/>
    </w:rPr>
  </w:style>
  <w:style w:type="character" w:styleId="FootnoteReference">
    <w:name w:val="footnote reference"/>
    <w:basedOn w:val="DefaultParagraphFont"/>
    <w:uiPriority w:val="99"/>
    <w:semiHidden/>
    <w:unhideWhenUsed/>
    <w:rsid w:val="00137347"/>
    <w:rPr>
      <w:vertAlign w:val="superscript"/>
    </w:rPr>
  </w:style>
  <w:style w:type="character" w:styleId="Emphasis">
    <w:name w:val="Emphasis"/>
    <w:basedOn w:val="DefaultParagraphFont"/>
    <w:uiPriority w:val="20"/>
    <w:qFormat/>
    <w:rsid w:val="00137347"/>
    <w:rPr>
      <w:i/>
      <w:iCs/>
    </w:rPr>
  </w:style>
  <w:style w:type="table" w:customStyle="1" w:styleId="TableGrid0">
    <w:name w:val="TableGrid"/>
    <w:rsid w:val="00E55111"/>
    <w:pPr>
      <w:spacing w:before="0" w:after="0"/>
    </w:pPr>
    <w:rPr>
      <w:rFonts w:eastAsiaTheme="minorEastAsia"/>
      <w:lang w:eastAsia="en-AU"/>
    </w:rPr>
    <w:tblPr>
      <w:tblCellMar>
        <w:top w:w="0" w:type="dxa"/>
        <w:left w:w="0" w:type="dxa"/>
        <w:bottom w:w="0" w:type="dxa"/>
        <w:right w:w="0" w:type="dxa"/>
      </w:tblCellMar>
    </w:tblPr>
  </w:style>
  <w:style w:type="paragraph" w:styleId="Revision">
    <w:name w:val="Revision"/>
    <w:hidden/>
    <w:uiPriority w:val="99"/>
    <w:semiHidden/>
    <w:rsid w:val="00DF446C"/>
    <w:pPr>
      <w:spacing w:before="0" w:after="0"/>
    </w:pPr>
  </w:style>
  <w:style w:type="table" w:styleId="GridTable1Light-Accent3">
    <w:name w:val="Grid Table 1 Light Accent 3"/>
    <w:basedOn w:val="TableNormal"/>
    <w:uiPriority w:val="46"/>
    <w:rsid w:val="000C7844"/>
    <w:pPr>
      <w:spacing w:after="0"/>
    </w:pPr>
    <w:tblPr>
      <w:tblStyleRowBandSize w:val="1"/>
      <w:tblStyleColBandSize w:val="1"/>
      <w:tblBorders>
        <w:top w:val="single" w:sz="4" w:space="0" w:color="A3BEE1" w:themeColor="accent3" w:themeTint="66"/>
        <w:left w:val="single" w:sz="4" w:space="0" w:color="A3BEE1" w:themeColor="accent3" w:themeTint="66"/>
        <w:bottom w:val="single" w:sz="4" w:space="0" w:color="A3BEE1" w:themeColor="accent3" w:themeTint="66"/>
        <w:right w:val="single" w:sz="4" w:space="0" w:color="A3BEE1" w:themeColor="accent3" w:themeTint="66"/>
        <w:insideH w:val="single" w:sz="4" w:space="0" w:color="A3BEE1" w:themeColor="accent3" w:themeTint="66"/>
        <w:insideV w:val="single" w:sz="4" w:space="0" w:color="A3BEE1" w:themeColor="accent3" w:themeTint="66"/>
      </w:tblBorders>
    </w:tblPr>
    <w:tblStylePr w:type="firstRow">
      <w:rPr>
        <w:b/>
        <w:bCs/>
      </w:rPr>
      <w:tblPr/>
      <w:tcPr>
        <w:tcBorders>
          <w:bottom w:val="single" w:sz="12" w:space="0" w:color="759ED3" w:themeColor="accent3" w:themeTint="99"/>
        </w:tcBorders>
      </w:tcPr>
    </w:tblStylePr>
    <w:tblStylePr w:type="lastRow">
      <w:rPr>
        <w:b/>
        <w:bCs/>
      </w:rPr>
      <w:tblPr/>
      <w:tcPr>
        <w:tcBorders>
          <w:top w:val="double" w:sz="2" w:space="0" w:color="759ED3" w:themeColor="accent3" w:themeTint="99"/>
        </w:tcBorders>
      </w:tcPr>
    </w:tblStylePr>
    <w:tblStylePr w:type="firstCol">
      <w:rPr>
        <w:b/>
        <w:bCs/>
      </w:rPr>
    </w:tblStylePr>
    <w:tblStylePr w:type="lastCol">
      <w:rPr>
        <w:b/>
        <w:bCs/>
      </w:rPr>
    </w:tblStylePr>
  </w:style>
  <w:style w:type="table" w:styleId="GridTable4-Accent3">
    <w:name w:val="Grid Table 4 Accent 3"/>
    <w:basedOn w:val="TableNormal"/>
    <w:uiPriority w:val="49"/>
    <w:rsid w:val="000C7844"/>
    <w:pPr>
      <w:spacing w:after="0"/>
    </w:pPr>
    <w:tblPr>
      <w:tblStyleRowBandSize w:val="1"/>
      <w:tblStyleColBandSize w:val="1"/>
      <w:tblBorders>
        <w:top w:val="single" w:sz="4" w:space="0" w:color="759ED3" w:themeColor="accent3" w:themeTint="99"/>
        <w:left w:val="single" w:sz="4" w:space="0" w:color="759ED3" w:themeColor="accent3" w:themeTint="99"/>
        <w:bottom w:val="single" w:sz="4" w:space="0" w:color="759ED3" w:themeColor="accent3" w:themeTint="99"/>
        <w:right w:val="single" w:sz="4" w:space="0" w:color="759ED3" w:themeColor="accent3" w:themeTint="99"/>
        <w:insideH w:val="single" w:sz="4" w:space="0" w:color="759ED3" w:themeColor="accent3" w:themeTint="99"/>
        <w:insideV w:val="single" w:sz="4" w:space="0" w:color="759ED3" w:themeColor="accent3" w:themeTint="99"/>
      </w:tblBorders>
    </w:tblPr>
    <w:tblStylePr w:type="firstRow">
      <w:rPr>
        <w:b/>
        <w:bCs/>
        <w:color w:val="FFFFFF" w:themeColor="background1"/>
      </w:rPr>
      <w:tblPr/>
      <w:tcPr>
        <w:tcBorders>
          <w:top w:val="single" w:sz="4" w:space="0" w:color="32619D" w:themeColor="accent3"/>
          <w:left w:val="single" w:sz="4" w:space="0" w:color="32619D" w:themeColor="accent3"/>
          <w:bottom w:val="single" w:sz="4" w:space="0" w:color="32619D" w:themeColor="accent3"/>
          <w:right w:val="single" w:sz="4" w:space="0" w:color="32619D" w:themeColor="accent3"/>
          <w:insideH w:val="nil"/>
          <w:insideV w:val="nil"/>
        </w:tcBorders>
        <w:shd w:val="clear" w:color="auto" w:fill="32619D" w:themeFill="accent3"/>
      </w:tcPr>
    </w:tblStylePr>
    <w:tblStylePr w:type="lastRow">
      <w:rPr>
        <w:b/>
        <w:bCs/>
      </w:rPr>
      <w:tblPr/>
      <w:tcPr>
        <w:tcBorders>
          <w:top w:val="double" w:sz="4" w:space="0" w:color="32619D" w:themeColor="accent3"/>
        </w:tcBorders>
      </w:tcPr>
    </w:tblStylePr>
    <w:tblStylePr w:type="firstCol">
      <w:rPr>
        <w:b/>
        <w:bCs/>
      </w:rPr>
    </w:tblStylePr>
    <w:tblStylePr w:type="lastCol">
      <w:rPr>
        <w:b/>
        <w:bCs/>
      </w:rPr>
    </w:tblStylePr>
    <w:tblStylePr w:type="band1Vert">
      <w:tblPr/>
      <w:tcPr>
        <w:shd w:val="clear" w:color="auto" w:fill="D1DEF0" w:themeFill="accent3" w:themeFillTint="33"/>
      </w:tcPr>
    </w:tblStylePr>
    <w:tblStylePr w:type="band1Horz">
      <w:tblPr/>
      <w:tcPr>
        <w:shd w:val="clear" w:color="auto" w:fill="D1DEF0" w:themeFill="accent3" w:themeFillTint="33"/>
      </w:tcPr>
    </w:tblStylePr>
  </w:style>
  <w:style w:type="character" w:styleId="Strong">
    <w:name w:val="Strong"/>
    <w:basedOn w:val="DefaultParagraphFont"/>
    <w:uiPriority w:val="22"/>
    <w:qFormat/>
    <w:rsid w:val="00900D43"/>
    <w:rPr>
      <w:b/>
      <w:bCs/>
    </w:rPr>
  </w:style>
  <w:style w:type="paragraph" w:styleId="NormalWeb">
    <w:name w:val="Normal (Web)"/>
    <w:basedOn w:val="Normal"/>
    <w:uiPriority w:val="99"/>
    <w:semiHidden/>
    <w:unhideWhenUsed/>
    <w:rsid w:val="00F56D17"/>
    <w:pPr>
      <w:spacing w:before="100" w:beforeAutospacing="1" w:after="100" w:afterAutospacing="1"/>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778366">
      <w:bodyDiv w:val="1"/>
      <w:marLeft w:val="0"/>
      <w:marRight w:val="0"/>
      <w:marTop w:val="0"/>
      <w:marBottom w:val="0"/>
      <w:divBdr>
        <w:top w:val="none" w:sz="0" w:space="0" w:color="auto"/>
        <w:left w:val="none" w:sz="0" w:space="0" w:color="auto"/>
        <w:bottom w:val="none" w:sz="0" w:space="0" w:color="auto"/>
        <w:right w:val="none" w:sz="0" w:space="0" w:color="auto"/>
      </w:divBdr>
    </w:div>
    <w:div w:id="235827236">
      <w:bodyDiv w:val="1"/>
      <w:marLeft w:val="0"/>
      <w:marRight w:val="0"/>
      <w:marTop w:val="0"/>
      <w:marBottom w:val="0"/>
      <w:divBdr>
        <w:top w:val="none" w:sz="0" w:space="0" w:color="auto"/>
        <w:left w:val="none" w:sz="0" w:space="0" w:color="auto"/>
        <w:bottom w:val="none" w:sz="0" w:space="0" w:color="auto"/>
        <w:right w:val="none" w:sz="0" w:space="0" w:color="auto"/>
      </w:divBdr>
    </w:div>
    <w:div w:id="439448428">
      <w:bodyDiv w:val="1"/>
      <w:marLeft w:val="0"/>
      <w:marRight w:val="0"/>
      <w:marTop w:val="0"/>
      <w:marBottom w:val="0"/>
      <w:divBdr>
        <w:top w:val="none" w:sz="0" w:space="0" w:color="auto"/>
        <w:left w:val="none" w:sz="0" w:space="0" w:color="auto"/>
        <w:bottom w:val="none" w:sz="0" w:space="0" w:color="auto"/>
        <w:right w:val="none" w:sz="0" w:space="0" w:color="auto"/>
      </w:divBdr>
    </w:div>
    <w:div w:id="578058125">
      <w:bodyDiv w:val="1"/>
      <w:marLeft w:val="0"/>
      <w:marRight w:val="0"/>
      <w:marTop w:val="0"/>
      <w:marBottom w:val="0"/>
      <w:divBdr>
        <w:top w:val="none" w:sz="0" w:space="0" w:color="auto"/>
        <w:left w:val="none" w:sz="0" w:space="0" w:color="auto"/>
        <w:bottom w:val="none" w:sz="0" w:space="0" w:color="auto"/>
        <w:right w:val="none" w:sz="0" w:space="0" w:color="auto"/>
      </w:divBdr>
    </w:div>
    <w:div w:id="819077164">
      <w:bodyDiv w:val="1"/>
      <w:marLeft w:val="0"/>
      <w:marRight w:val="0"/>
      <w:marTop w:val="0"/>
      <w:marBottom w:val="0"/>
      <w:divBdr>
        <w:top w:val="none" w:sz="0" w:space="0" w:color="auto"/>
        <w:left w:val="none" w:sz="0" w:space="0" w:color="auto"/>
        <w:bottom w:val="none" w:sz="0" w:space="0" w:color="auto"/>
        <w:right w:val="none" w:sz="0" w:space="0" w:color="auto"/>
      </w:divBdr>
      <w:divsChild>
        <w:div w:id="1307978923">
          <w:marLeft w:val="0"/>
          <w:marRight w:val="0"/>
          <w:marTop w:val="0"/>
          <w:marBottom w:val="0"/>
          <w:divBdr>
            <w:top w:val="none" w:sz="0" w:space="0" w:color="auto"/>
            <w:left w:val="none" w:sz="0" w:space="0" w:color="auto"/>
            <w:bottom w:val="none" w:sz="0" w:space="0" w:color="auto"/>
            <w:right w:val="none" w:sz="0" w:space="0" w:color="auto"/>
          </w:divBdr>
        </w:div>
      </w:divsChild>
    </w:div>
    <w:div w:id="1267081413">
      <w:bodyDiv w:val="1"/>
      <w:marLeft w:val="0"/>
      <w:marRight w:val="0"/>
      <w:marTop w:val="0"/>
      <w:marBottom w:val="0"/>
      <w:divBdr>
        <w:top w:val="none" w:sz="0" w:space="0" w:color="auto"/>
        <w:left w:val="none" w:sz="0" w:space="0" w:color="auto"/>
        <w:bottom w:val="none" w:sz="0" w:space="0" w:color="auto"/>
        <w:right w:val="none" w:sz="0" w:space="0" w:color="auto"/>
      </w:divBdr>
    </w:div>
    <w:div w:id="1593247058">
      <w:bodyDiv w:val="1"/>
      <w:marLeft w:val="0"/>
      <w:marRight w:val="0"/>
      <w:marTop w:val="0"/>
      <w:marBottom w:val="0"/>
      <w:divBdr>
        <w:top w:val="none" w:sz="0" w:space="0" w:color="auto"/>
        <w:left w:val="none" w:sz="0" w:space="0" w:color="auto"/>
        <w:bottom w:val="none" w:sz="0" w:space="0" w:color="auto"/>
        <w:right w:val="none" w:sz="0" w:space="0" w:color="auto"/>
      </w:divBdr>
      <w:divsChild>
        <w:div w:id="738283922">
          <w:marLeft w:val="0"/>
          <w:marRight w:val="0"/>
          <w:marTop w:val="0"/>
          <w:marBottom w:val="0"/>
          <w:divBdr>
            <w:top w:val="none" w:sz="0" w:space="0" w:color="auto"/>
            <w:left w:val="none" w:sz="0" w:space="0" w:color="auto"/>
            <w:bottom w:val="none" w:sz="0" w:space="0" w:color="auto"/>
            <w:right w:val="none" w:sz="0" w:space="0" w:color="auto"/>
          </w:divBdr>
        </w:div>
      </w:divsChild>
    </w:div>
    <w:div w:id="1828351706">
      <w:bodyDiv w:val="1"/>
      <w:marLeft w:val="0"/>
      <w:marRight w:val="0"/>
      <w:marTop w:val="0"/>
      <w:marBottom w:val="0"/>
      <w:divBdr>
        <w:top w:val="none" w:sz="0" w:space="0" w:color="auto"/>
        <w:left w:val="none" w:sz="0" w:space="0" w:color="auto"/>
        <w:bottom w:val="none" w:sz="0" w:space="0" w:color="auto"/>
        <w:right w:val="none" w:sz="0" w:space="0" w:color="auto"/>
      </w:divBdr>
      <w:divsChild>
        <w:div w:id="1965117839">
          <w:marLeft w:val="0"/>
          <w:marRight w:val="0"/>
          <w:marTop w:val="0"/>
          <w:marBottom w:val="0"/>
          <w:divBdr>
            <w:top w:val="none" w:sz="0" w:space="0" w:color="auto"/>
            <w:left w:val="none" w:sz="0" w:space="0" w:color="auto"/>
            <w:bottom w:val="none" w:sz="0" w:space="0" w:color="auto"/>
            <w:right w:val="none" w:sz="0" w:space="0" w:color="auto"/>
          </w:divBdr>
        </w:div>
      </w:divsChild>
    </w:div>
    <w:div w:id="1998529763">
      <w:bodyDiv w:val="1"/>
      <w:marLeft w:val="0"/>
      <w:marRight w:val="0"/>
      <w:marTop w:val="0"/>
      <w:marBottom w:val="0"/>
      <w:divBdr>
        <w:top w:val="none" w:sz="0" w:space="0" w:color="auto"/>
        <w:left w:val="none" w:sz="0" w:space="0" w:color="auto"/>
        <w:bottom w:val="none" w:sz="0" w:space="0" w:color="auto"/>
        <w:right w:val="none" w:sz="0" w:space="0" w:color="auto"/>
      </w:divBdr>
      <w:divsChild>
        <w:div w:id="8327255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vision2020australia.org.au" TargetMode="External"/><Relationship Id="rId18" Type="http://schemas.openxmlformats.org/officeDocument/2006/relationships/hyperlink" Target="https://www.racgp.org.au/clinical-resources/clinical-guidelines/key-racgp-guidelines/view-all-racgp-guidelines/national-guide" TargetMode="External"/><Relationship Id="rId26" Type="http://schemas.openxmlformats.org/officeDocument/2006/relationships/hyperlink" Target="http://mspgh.unimelb.edu.au/__data/assets/pdf_file/0004/1984144/niehs_full_report.pdf" TargetMode="External"/><Relationship Id="rId3" Type="http://schemas.openxmlformats.org/officeDocument/2006/relationships/customXml" Target="../customXml/item3.xml"/><Relationship Id="rId21" Type="http://schemas.openxmlformats.org/officeDocument/2006/relationships/hyperlink" Target="https://www.racgp.org.au/clinical-resources/clinical-guidelines/key-racgp-guidelines/view-all-racgp-guidelines/national-guide"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info@vision2020australia.org.au" TargetMode="External"/><Relationship Id="rId17" Type="http://schemas.openxmlformats.org/officeDocument/2006/relationships/image" Target="media/image2.png"/><Relationship Id="rId25" Type="http://schemas.openxmlformats.org/officeDocument/2006/relationships/hyperlink" Target="https://www.vision2020australia.org.au/resources/national-eye-health-survey-report/"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qualitycare@racgp.org.au" TargetMode="External"/><Relationship Id="rId20" Type="http://schemas.openxmlformats.org/officeDocument/2006/relationships/image" Target="media/image4.png"/><Relationship Id="rId29" Type="http://schemas.openxmlformats.org/officeDocument/2006/relationships/hyperlink" Target="http://www.nhmrc.gov.au/_files_nhmrc/file/publications/synopses/di15.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32" Type="http://schemas.openxmlformats.org/officeDocument/2006/relationships/hyperlink" Target="https://www.racgp.org.au/getattachment/41fee8dc-7f97-4f87-9d90-b7af337af778/Management-of-type-2-diabetes-A-handbook-for-general-practice.aspx" TargetMode="External"/><Relationship Id="rId5" Type="http://schemas.openxmlformats.org/officeDocument/2006/relationships/numbering" Target="numbering.xml"/><Relationship Id="rId15" Type="http://schemas.openxmlformats.org/officeDocument/2006/relationships/hyperlink" Target="http://www.vision2020australia.org.au" TargetMode="External"/><Relationship Id="rId23" Type="http://schemas.openxmlformats.org/officeDocument/2006/relationships/footer" Target="footer1.xml"/><Relationship Id="rId28" Type="http://schemas.openxmlformats.org/officeDocument/2006/relationships/hyperlink" Target="https://ranzco.edu/home/policies-and-guidelines/referral-pathway/" TargetMode="Externa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hyperlink" Target="http://www.mbsonline.gov.au/internet/mbsonline/publishing.nsf/Content/Hom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vision2020australia.org.au" TargetMode="External"/><Relationship Id="rId22" Type="http://schemas.openxmlformats.org/officeDocument/2006/relationships/header" Target="header1.xml"/><Relationship Id="rId27" Type="http://schemas.openxmlformats.org/officeDocument/2006/relationships/hyperlink" Target="http://www.outbackvision.com.au/wp-content/uploads/2017/03/161212-lov.man_.002-diabetic-retinopathy-screening-manual.pdf" TargetMode="External"/><Relationship Id="rId30" Type="http://schemas.openxmlformats.org/officeDocument/2006/relationships/hyperlink" Target="http://www.pmh.health.wa.gov.au/general/CACH/docs/manual/4%20School%20Aged%20"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ranzco.edu/wp-content/uploads/2019/06/RANZCO-Referral-Pathway-for-Glaucoma-Management.pdf" TargetMode="External"/><Relationship Id="rId13" Type="http://schemas.openxmlformats.org/officeDocument/2006/relationships/hyperlink" Target="https://www.aoa.org/AOA/Documents/Practice%20Management/Clinical%20Guidelines/EBO%20Guidelines/Comprehensive%20Adult%20Eye%20and%20Vision%20Exam.pdf" TargetMode="External"/><Relationship Id="rId18" Type="http://schemas.openxmlformats.org/officeDocument/2006/relationships/hyperlink" Target="https://ranzco.edu/wp-content/uploads/2020/08/Patient-Screening-and-Referral-Pathway-and-Clinical-Notes-for-Diabetic-Retinopathy-Management-in-Australia-2019.pdf" TargetMode="External"/><Relationship Id="rId3" Type="http://schemas.openxmlformats.org/officeDocument/2006/relationships/hyperlink" Target="https://ranzco.edu/home/policies-and-guidelines/referral-pathway/" TargetMode="External"/><Relationship Id="rId21" Type="http://schemas.openxmlformats.org/officeDocument/2006/relationships/hyperlink" Target="https://pubmed.ncbi.nlm.nih.gov/24400653/" TargetMode="External"/><Relationship Id="rId7" Type="http://schemas.openxmlformats.org/officeDocument/2006/relationships/hyperlink" Target="https://www.aao.org/preferred-practice-pattern/primary-open-angle-glaucoma-ppp-2015" TargetMode="External"/><Relationship Id="rId12" Type="http://schemas.openxmlformats.org/officeDocument/2006/relationships/hyperlink" Target="https://www.aoa.org/healthy-eyes/eye-health-for-life/senior-vision?sso=y" TargetMode="External"/><Relationship Id="rId17" Type="http://schemas.openxmlformats.org/officeDocument/2006/relationships/hyperlink" Target="https://ranzco.edu/wp-content/uploads/2020/08/Patient-Screening-and-Referral-Pathway-and-Clinical-Notes-for-Diabetic-Retinopathy-Management-in-Australia-2019.pdf" TargetMode="External"/><Relationship Id="rId2" Type="http://schemas.openxmlformats.org/officeDocument/2006/relationships/hyperlink" Target="https://ranzco.edu/wp-content/uploads/2020/11/RANZCO-Referral-pathway-for-AMD-management.pdf" TargetMode="External"/><Relationship Id="rId16" Type="http://schemas.openxmlformats.org/officeDocument/2006/relationships/hyperlink" Target="https://mspgh.unimelb.edu.au/__data/assets/pdf_file/0005/2555600/A4-DR-Rdmap-resource-2017.10.05.pdf" TargetMode="External"/><Relationship Id="rId20" Type="http://schemas.openxmlformats.org/officeDocument/2006/relationships/hyperlink" Target="https://pubmed.ncbi.nlm.nih.gov/26367341/" TargetMode="External"/><Relationship Id="rId1" Type="http://schemas.openxmlformats.org/officeDocument/2006/relationships/hyperlink" Target="https://ranzco.edu/wp-content/uploads/2020/08/Patient-Screening-and-Referral-Pathway-and-Clinical-Notes-for-Diabetic-Retinopathy-Management-in-Australia-2019.pdf" TargetMode="External"/><Relationship Id="rId6" Type="http://schemas.openxmlformats.org/officeDocument/2006/relationships/hyperlink" Target="https://ranzco.edu/wp-content/uploads/2019/06/RANZCO-Referral-Pathway-for-Glaucoma-Management.pdf" TargetMode="External"/><Relationship Id="rId11" Type="http://schemas.openxmlformats.org/officeDocument/2006/relationships/hyperlink" Target="https://ranzco.edu/wp-content/uploads/2020/01/080120-RANZCO-Referral-pathway-for-AMD-management-revised.pdf" TargetMode="External"/><Relationship Id="rId5" Type="http://schemas.openxmlformats.org/officeDocument/2006/relationships/hyperlink" Target="https://www.aao.org/preferred-practice-pattern/primary-open-angle-glaucoma-ppp-2015" TargetMode="External"/><Relationship Id="rId15" Type="http://schemas.openxmlformats.org/officeDocument/2006/relationships/hyperlink" Target="http://www9.health.gov.au/mbs/fullDisplay.cfm?type=item&amp;q=10910" TargetMode="External"/><Relationship Id="rId10" Type="http://schemas.openxmlformats.org/officeDocument/2006/relationships/hyperlink" Target="https://pubmed.ncbi.nlm.nih.gov/26367341/" TargetMode="External"/><Relationship Id="rId19" Type="http://schemas.openxmlformats.org/officeDocument/2006/relationships/hyperlink" Target="https://ranzco.edu/wp-content/uploads/2020/08/Patient-Screening-and-Referral-Pathway-and-Clinical-Notes-for-Diabetic-Retinopathy-Management-in-Australia-2019.pdf" TargetMode="External"/><Relationship Id="rId4" Type="http://schemas.openxmlformats.org/officeDocument/2006/relationships/hyperlink" Target="https://ranzco.edu/home/policies-and-guidelines/referral-pathway/" TargetMode="External"/><Relationship Id="rId9" Type="http://schemas.openxmlformats.org/officeDocument/2006/relationships/hyperlink" Target="https://pdfs.semanticscholar.org/7378/29031b22c94bb6baa62ac08a12d0913c3a30.pdf" TargetMode="External"/><Relationship Id="rId14" Type="http://schemas.openxmlformats.org/officeDocument/2006/relationships/hyperlink" Target="https://www.nhs.uk/common-health-questions/nhs-services-and-treatments/how-often-can-i-have-a-free-nhs-eye-test/" TargetMode="External"/><Relationship Id="rId22" Type="http://schemas.openxmlformats.org/officeDocument/2006/relationships/hyperlink" Target="https://ranzco.edu/home/policies-and-guidelines/referral-pathwa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serebrianik\Documents\Office%20Templates\Letterhead%2020%20Year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31A103C1DBE4996ABA52B3079C05148"/>
        <w:category>
          <w:name w:val="General"/>
          <w:gallery w:val="placeholder"/>
        </w:category>
        <w:types>
          <w:type w:val="bbPlcHdr"/>
        </w:types>
        <w:behaviors>
          <w:behavior w:val="content"/>
        </w:behaviors>
        <w:guid w:val="{BC372E7A-87A5-4FE1-8E38-48FA1D270F95}"/>
      </w:docPartPr>
      <w:docPartBody>
        <w:p w:rsidR="00462D03" w:rsidRDefault="000E089C">
          <w:pPr>
            <w:pStyle w:val="A31A103C1DBE4996ABA52B3079C05148"/>
          </w:pPr>
          <w:r>
            <w:t>[Choose d</w:t>
          </w:r>
          <w:r w:rsidRPr="00584196">
            <w:t>ate</w:t>
          </w:r>
          <w: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NeueLTStd-Lt">
    <w:altName w:val="Yu Gothic"/>
    <w:panose1 w:val="00000000000000000000"/>
    <w:charset w:val="80"/>
    <w:family w:val="swiss"/>
    <w:notTrueType/>
    <w:pitch w:val="default"/>
    <w:sig w:usb0="00000003" w:usb1="08070000" w:usb2="00000010" w:usb3="00000000" w:csb0="0002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89C"/>
    <w:rsid w:val="000E089C"/>
    <w:rsid w:val="001E5D1B"/>
    <w:rsid w:val="002540DC"/>
    <w:rsid w:val="002B36FF"/>
    <w:rsid w:val="002B7708"/>
    <w:rsid w:val="003538A6"/>
    <w:rsid w:val="003C50BC"/>
    <w:rsid w:val="00462D03"/>
    <w:rsid w:val="00466C7F"/>
    <w:rsid w:val="0069007B"/>
    <w:rsid w:val="00757027"/>
    <w:rsid w:val="007621DD"/>
    <w:rsid w:val="00766D71"/>
    <w:rsid w:val="007E4642"/>
    <w:rsid w:val="00826C65"/>
    <w:rsid w:val="008F1466"/>
    <w:rsid w:val="009052AB"/>
    <w:rsid w:val="00A552E9"/>
    <w:rsid w:val="00A71487"/>
    <w:rsid w:val="00B36466"/>
    <w:rsid w:val="00B47E45"/>
    <w:rsid w:val="00B82A2D"/>
    <w:rsid w:val="00C314BD"/>
    <w:rsid w:val="00C55AD9"/>
    <w:rsid w:val="00C651E5"/>
    <w:rsid w:val="00D23930"/>
    <w:rsid w:val="00DA4F4B"/>
    <w:rsid w:val="00DE0B96"/>
    <w:rsid w:val="00E1668D"/>
    <w:rsid w:val="00F04F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31A103C1DBE4996ABA52B3079C05148">
    <w:name w:val="A31A103C1DBE4996ABA52B3079C0514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53A48D7723EC43AF94F17466661D5B" ma:contentTypeVersion="12" ma:contentTypeDescription="Create a new document." ma:contentTypeScope="" ma:versionID="40da662e933e60405e4d875ebe20cfcd">
  <xsd:schema xmlns:xsd="http://www.w3.org/2001/XMLSchema" xmlns:xs="http://www.w3.org/2001/XMLSchema" xmlns:p="http://schemas.microsoft.com/office/2006/metadata/properties" xmlns:ns3="e2291593-487e-456f-b1f3-c6d0076a4f52" xmlns:ns4="bf1568da-3a53-4ed8-a5b3-a8e7814d83f7" targetNamespace="http://schemas.microsoft.com/office/2006/metadata/properties" ma:root="true" ma:fieldsID="0d8f31b8c9dbff8b4b92d10321abd869" ns3:_="" ns4:_="">
    <xsd:import namespace="e2291593-487e-456f-b1f3-c6d0076a4f52"/>
    <xsd:import namespace="bf1568da-3a53-4ed8-a5b3-a8e7814d83f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291593-487e-456f-b1f3-c6d0076a4f5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1568da-3a53-4ed8-a5b3-a8e7814d83f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ADC2B-359A-4CB9-B8DF-B31C0BC279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291593-487e-456f-b1f3-c6d0076a4f52"/>
    <ds:schemaRef ds:uri="bf1568da-3a53-4ed8-a5b3-a8e7814d83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2EDF78-3F2A-4524-96CB-6556BCC0FB35}">
  <ds:schemaRefs>
    <ds:schemaRef ds:uri="http://purl.org/dc/dcmitype/"/>
    <ds:schemaRef ds:uri="bf1568da-3a53-4ed8-a5b3-a8e7814d83f7"/>
    <ds:schemaRef ds:uri="http://schemas.openxmlformats.org/package/2006/metadata/core-properties"/>
    <ds:schemaRef ds:uri="e2291593-487e-456f-b1f3-c6d0076a4f52"/>
    <ds:schemaRef ds:uri="http://schemas.microsoft.com/office/infopath/2007/PartnerControls"/>
    <ds:schemaRef ds:uri="http://schemas.microsoft.com/office/2006/metadata/properties"/>
    <ds:schemaRef ds:uri="http://schemas.microsoft.com/office/2006/documentManagement/types"/>
    <ds:schemaRef ds:uri="http://www.w3.org/XML/1998/namespace"/>
    <ds:schemaRef ds:uri="http://purl.org/dc/terms/"/>
    <ds:schemaRef ds:uri="http://purl.org/dc/elements/1.1/"/>
  </ds:schemaRefs>
</ds:datastoreItem>
</file>

<file path=customXml/itemProps3.xml><?xml version="1.0" encoding="utf-8"?>
<ds:datastoreItem xmlns:ds="http://schemas.openxmlformats.org/officeDocument/2006/customXml" ds:itemID="{19C3E768-CEAD-4323-A06A-5DBB12A6632F}">
  <ds:schemaRefs>
    <ds:schemaRef ds:uri="http://schemas.microsoft.com/sharepoint/v3/contenttype/forms"/>
  </ds:schemaRefs>
</ds:datastoreItem>
</file>

<file path=customXml/itemProps4.xml><?xml version="1.0" encoding="utf-8"?>
<ds:datastoreItem xmlns:ds="http://schemas.openxmlformats.org/officeDocument/2006/customXml" ds:itemID="{1036E20C-4124-4D17-8E20-FE291EC1D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Letterhead 20 Years</Template>
  <TotalTime>7</TotalTime>
  <Pages>20</Pages>
  <Words>7140</Words>
  <Characters>40699</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Abbott</dc:creator>
  <cp:keywords/>
  <dc:description/>
  <cp:lastModifiedBy>Roman Serebrianik</cp:lastModifiedBy>
  <cp:revision>10</cp:revision>
  <cp:lastPrinted>2021-01-13T00:27:00Z</cp:lastPrinted>
  <dcterms:created xsi:type="dcterms:W3CDTF">2021-01-12T23:53:00Z</dcterms:created>
  <dcterms:modified xsi:type="dcterms:W3CDTF">2021-01-13T00:27:00Z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0x0101008D53A48D7723EC43AF94F17466661D5B</vt:lpwstr>
  </property>
</Properties>
</file>