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619D3" w14:textId="4B2A1D52" w:rsidR="004C00D5" w:rsidRDefault="004C00D5" w:rsidP="00073D1E">
      <w:pPr>
        <w:pStyle w:val="Heading2"/>
      </w:pPr>
      <w:bookmarkStart w:id="0" w:name="Cover"/>
    </w:p>
    <w:p w14:paraId="3D1749C5" w14:textId="3BDC32D0" w:rsidR="00073D1E" w:rsidRDefault="00073D1E" w:rsidP="00073D1E">
      <w:pPr>
        <w:pStyle w:val="Heading2"/>
      </w:pPr>
      <w:r>
        <w:t>Briefing</w:t>
      </w:r>
      <w:r w:rsidR="00EB411C">
        <w:t xml:space="preserve"> for members</w:t>
      </w:r>
      <w:r>
        <w:t>, May 2021</w:t>
      </w:r>
    </w:p>
    <w:p w14:paraId="6DB33E62" w14:textId="0B8D0C23" w:rsidR="0032385B" w:rsidRPr="004C3AD7" w:rsidRDefault="00073D1E" w:rsidP="00073D1E">
      <w:pPr>
        <w:pStyle w:val="Heading1"/>
        <w:spacing w:before="0" w:after="0"/>
      </w:pPr>
      <w:r>
        <w:t>Government aged care reforms and implications for the sector</w:t>
      </w:r>
    </w:p>
    <w:p w14:paraId="04FC381C" w14:textId="64D688D7" w:rsidR="009D7FA3" w:rsidRDefault="009D7FA3" w:rsidP="00EB411C">
      <w:pPr>
        <w:pStyle w:val="Heading2"/>
      </w:pPr>
      <w:bookmarkStart w:id="1" w:name="_Hlk71802074"/>
      <w:bookmarkEnd w:id="0"/>
      <w:r>
        <w:t>Overview of reforms</w:t>
      </w:r>
    </w:p>
    <w:p w14:paraId="560AA55F" w14:textId="763BBB04" w:rsidR="00BF3CB0" w:rsidRDefault="001A1AB9" w:rsidP="0032385B">
      <w:pPr>
        <w:pStyle w:val="BodyText"/>
      </w:pPr>
      <w:r>
        <w:t>O</w:t>
      </w:r>
      <w:r w:rsidR="001B44F6">
        <w:t>n</w:t>
      </w:r>
      <w:r w:rsidR="004C00D5">
        <w:t xml:space="preserve"> 11May </w:t>
      </w:r>
      <w:r w:rsidR="003905CB">
        <w:t>202</w:t>
      </w:r>
      <w:r w:rsidR="004C00D5">
        <w:t>1</w:t>
      </w:r>
      <w:r w:rsidR="003905CB">
        <w:t xml:space="preserve">, the Australian Government released </w:t>
      </w:r>
      <w:hyperlink r:id="rId12" w:history="1">
        <w:r w:rsidR="003905CB" w:rsidRPr="00250390">
          <w:rPr>
            <w:rStyle w:val="Hyperlink"/>
          </w:rPr>
          <w:t xml:space="preserve">its formal </w:t>
        </w:r>
        <w:r w:rsidR="004039E5" w:rsidRPr="00250390">
          <w:rPr>
            <w:rStyle w:val="Hyperlink"/>
          </w:rPr>
          <w:t>response</w:t>
        </w:r>
      </w:hyperlink>
      <w:r w:rsidR="004039E5">
        <w:t xml:space="preserve"> to the final report by the Royal Commission into Aged Care Quality and Safety, </w:t>
      </w:r>
      <w:r w:rsidR="003905CB">
        <w:t>accompanied by budget announcements totalling</w:t>
      </w:r>
      <w:r w:rsidR="00BF3CB0">
        <w:t xml:space="preserve"> $17.7 billion over the next </w:t>
      </w:r>
      <w:r w:rsidR="00353D22">
        <w:t>four</w:t>
      </w:r>
      <w:r w:rsidR="00BF3CB0">
        <w:t xml:space="preserve"> years</w:t>
      </w:r>
      <w:r w:rsidR="003905CB">
        <w:t>.</w:t>
      </w:r>
    </w:p>
    <w:p w14:paraId="38965EFC" w14:textId="1BA8D678" w:rsidR="00592FEE" w:rsidRDefault="00592FEE" w:rsidP="00592FEE">
      <w:r>
        <w:t>Of the 148 recommendations in the report, the government accepted 126, partially accepted/indicated further consideration was required in relation to16, and did not accept 6.</w:t>
      </w:r>
    </w:p>
    <w:bookmarkEnd w:id="1"/>
    <w:p w14:paraId="06EBB94C" w14:textId="77777777" w:rsidR="003905CB" w:rsidRDefault="003905CB" w:rsidP="0032385B">
      <w:pPr>
        <w:pStyle w:val="BodyText"/>
      </w:pPr>
      <w:r>
        <w:t>The government has signalled major reforms to the overall aged care system, including:</w:t>
      </w:r>
    </w:p>
    <w:p w14:paraId="52A23DC7" w14:textId="77AEB732" w:rsidR="00447417" w:rsidRDefault="003905CB" w:rsidP="003905CB">
      <w:pPr>
        <w:pStyle w:val="BodyText"/>
        <w:numPr>
          <w:ilvl w:val="0"/>
          <w:numId w:val="37"/>
        </w:numPr>
      </w:pPr>
      <w:r>
        <w:t xml:space="preserve">Development of a new </w:t>
      </w:r>
      <w:r w:rsidR="00BF3CB0">
        <w:t>Aged Care Act, to be introduced by 202</w:t>
      </w:r>
      <w:r w:rsidR="00250390">
        <w:t>3</w:t>
      </w:r>
    </w:p>
    <w:p w14:paraId="367E4DED" w14:textId="615B2A33" w:rsidR="00592FEE" w:rsidRDefault="00592FEE" w:rsidP="00592FEE">
      <w:pPr>
        <w:pStyle w:val="BodyText"/>
        <w:numPr>
          <w:ilvl w:val="0"/>
          <w:numId w:val="37"/>
        </w:numPr>
      </w:pPr>
      <w:r>
        <w:t>A single assessment pathway and a single assessment workforce</w:t>
      </w:r>
    </w:p>
    <w:p w14:paraId="13606729" w14:textId="6AEBCFE1" w:rsidR="003905CB" w:rsidRDefault="003905CB" w:rsidP="003905CB">
      <w:pPr>
        <w:pStyle w:val="BodyText"/>
        <w:numPr>
          <w:ilvl w:val="0"/>
          <w:numId w:val="37"/>
        </w:numPr>
      </w:pPr>
      <w:r>
        <w:t>Increases in daily funding for residential aged care services (</w:t>
      </w:r>
      <w:r w:rsidR="00447417">
        <w:t>an extra $10 per bed per day</w:t>
      </w:r>
      <w:r>
        <w:t>) and significant growth in home care packages (80,000 packages)</w:t>
      </w:r>
    </w:p>
    <w:p w14:paraId="4EE83295" w14:textId="04B6E2E4" w:rsidR="00BF3CB0" w:rsidRDefault="003905CB" w:rsidP="003905CB">
      <w:pPr>
        <w:pStyle w:val="BodyText"/>
        <w:numPr>
          <w:ilvl w:val="0"/>
          <w:numId w:val="37"/>
        </w:numPr>
      </w:pPr>
      <w:r>
        <w:t>New daily care benchmarks for residential care, including targets for nursing care (f</w:t>
      </w:r>
      <w:r w:rsidR="00447417">
        <w:t>rom October 2023, every Aged Care resident must receive 200 minutes of care per day including 40 minutes with a registered nurse</w:t>
      </w:r>
      <w:r w:rsidR="00250390">
        <w:t>)</w:t>
      </w:r>
    </w:p>
    <w:p w14:paraId="5A0E5652" w14:textId="13B5C762" w:rsidR="009D7FA3" w:rsidRDefault="009D7FA3" w:rsidP="00292673">
      <w:pPr>
        <w:pStyle w:val="BodyText"/>
        <w:numPr>
          <w:ilvl w:val="0"/>
          <w:numId w:val="37"/>
        </w:numPr>
      </w:pPr>
      <w:r>
        <w:t>Investments in expanding aged care workforce supply through funding of additional training places and incentives for nurses</w:t>
      </w:r>
    </w:p>
    <w:p w14:paraId="3E764043" w14:textId="772B03B1" w:rsidR="00264981" w:rsidRDefault="009D7FA3" w:rsidP="00292673">
      <w:pPr>
        <w:pStyle w:val="BodyText"/>
        <w:numPr>
          <w:ilvl w:val="0"/>
          <w:numId w:val="37"/>
        </w:numPr>
      </w:pPr>
      <w:r>
        <w:t>A new navigation workforce (both through Services Australia offices and establishment of local Community Care finders) an</w:t>
      </w:r>
      <w:r w:rsidR="00592FEE">
        <w:t>d</w:t>
      </w:r>
      <w:r>
        <w:t xml:space="preserve"> additional resources to hel</w:t>
      </w:r>
      <w:r w:rsidR="00264981">
        <w:t>p Aboriginal and Torres Strait Islander People, special needs groups and those in regional and remote areas access support</w:t>
      </w:r>
    </w:p>
    <w:p w14:paraId="0A2E1104" w14:textId="2F7F135F" w:rsidR="00592FEE" w:rsidRPr="00EB411C" w:rsidRDefault="00EB411C" w:rsidP="00292673">
      <w:pPr>
        <w:pStyle w:val="BodyText"/>
        <w:numPr>
          <w:ilvl w:val="0"/>
          <w:numId w:val="37"/>
        </w:numPr>
      </w:pPr>
      <w:r w:rsidRPr="00EB411C">
        <w:t>Major changes to</w:t>
      </w:r>
      <w:r w:rsidR="009D7FA3" w:rsidRPr="00EB411C">
        <w:t xml:space="preserve"> funding</w:t>
      </w:r>
      <w:r w:rsidRPr="00EB411C">
        <w:t xml:space="preserve"> processes and structures</w:t>
      </w:r>
      <w:r w:rsidR="009D7FA3" w:rsidRPr="00EB411C">
        <w:t xml:space="preserve">, </w:t>
      </w:r>
      <w:r w:rsidR="00592FEE" w:rsidRPr="00EB411C">
        <w:t>including:</w:t>
      </w:r>
    </w:p>
    <w:p w14:paraId="522BF99B" w14:textId="1886B3B6" w:rsidR="00592FEE" w:rsidRPr="00EB411C" w:rsidRDefault="00592FEE" w:rsidP="00592FEE">
      <w:pPr>
        <w:pStyle w:val="BodyText"/>
        <w:numPr>
          <w:ilvl w:val="1"/>
          <w:numId w:val="37"/>
        </w:numPr>
      </w:pPr>
      <w:r w:rsidRPr="00EB411C">
        <w:t xml:space="preserve">Consolidation of existing home care funding streams into a new Care at Home package which will include a specific category for assistive technology </w:t>
      </w:r>
    </w:p>
    <w:p w14:paraId="17F711C8" w14:textId="6A4F430F" w:rsidR="00592FEE" w:rsidRPr="00EB411C" w:rsidRDefault="001A6E5B" w:rsidP="00592FEE">
      <w:pPr>
        <w:pStyle w:val="BodyText"/>
        <w:numPr>
          <w:ilvl w:val="1"/>
          <w:numId w:val="37"/>
        </w:numPr>
      </w:pPr>
      <w:r>
        <w:t>I</w:t>
      </w:r>
      <w:r w:rsidR="009D7FA3" w:rsidRPr="00EB411C">
        <w:t xml:space="preserve">ntroduction of a new residential aged care </w:t>
      </w:r>
      <w:r w:rsidR="00EB411C" w:rsidRPr="00EB411C">
        <w:t xml:space="preserve">assessment and </w:t>
      </w:r>
      <w:r w:rsidR="009D7FA3" w:rsidRPr="00EB411C">
        <w:t>funding model (</w:t>
      </w:r>
      <w:r w:rsidR="00EB411C" w:rsidRPr="00EB411C">
        <w:t xml:space="preserve">the Australian National Aged Care Classification) </w:t>
      </w:r>
    </w:p>
    <w:p w14:paraId="39A8FC3C" w14:textId="138DA431" w:rsidR="00592FEE" w:rsidRDefault="009D7FA3" w:rsidP="00592FEE">
      <w:pPr>
        <w:pStyle w:val="BodyText"/>
        <w:numPr>
          <w:ilvl w:val="1"/>
          <w:numId w:val="37"/>
        </w:numPr>
      </w:pPr>
      <w:r>
        <w:t xml:space="preserve">establishment of an Aged Care Pricing Authority </w:t>
      </w:r>
    </w:p>
    <w:p w14:paraId="4F154409" w14:textId="425137FF" w:rsidR="00EB411C" w:rsidRDefault="00EB411C" w:rsidP="00592FEE">
      <w:pPr>
        <w:pStyle w:val="BodyText"/>
        <w:numPr>
          <w:ilvl w:val="1"/>
          <w:numId w:val="37"/>
        </w:numPr>
      </w:pPr>
      <w:r>
        <w:t>discontinuation of ACAR as the mechanism for allocation of residential aged care places</w:t>
      </w:r>
    </w:p>
    <w:p w14:paraId="55D77D47" w14:textId="46159364" w:rsidR="00264981" w:rsidRDefault="009D7FA3" w:rsidP="00264981">
      <w:pPr>
        <w:pStyle w:val="BodyText"/>
        <w:numPr>
          <w:ilvl w:val="0"/>
          <w:numId w:val="34"/>
        </w:numPr>
      </w:pPr>
      <w:r>
        <w:t>Establishment of a new star</w:t>
      </w:r>
      <w:r w:rsidR="001A6E5B">
        <w:t>red</w:t>
      </w:r>
      <w:r>
        <w:t xml:space="preserve"> rating system for residential aged care and strengthening of the </w:t>
      </w:r>
      <w:r w:rsidR="00264981">
        <w:t>Aged Care Quality and Safety Commission</w:t>
      </w:r>
    </w:p>
    <w:p w14:paraId="5D0ACB6F" w14:textId="2E52C4AB" w:rsidR="00264981" w:rsidRDefault="00024010" w:rsidP="00264981">
      <w:pPr>
        <w:pStyle w:val="BodyText"/>
        <w:numPr>
          <w:ilvl w:val="0"/>
          <w:numId w:val="34"/>
        </w:numPr>
      </w:pPr>
      <w:r>
        <w:t>A single screening system, register and code of conduct for all care workers across Aged Care, the NDIS, and the Department of Veterans Affairs</w:t>
      </w:r>
    </w:p>
    <w:p w14:paraId="384F9B9A" w14:textId="1AC538E1" w:rsidR="009D7FA3" w:rsidRDefault="009D7FA3" w:rsidP="00264981">
      <w:pPr>
        <w:pStyle w:val="BodyText"/>
        <w:numPr>
          <w:ilvl w:val="0"/>
          <w:numId w:val="34"/>
        </w:numPr>
      </w:pPr>
      <w:r>
        <w:t xml:space="preserve">Increasing investment in primary care to expand access for older Australians. </w:t>
      </w:r>
    </w:p>
    <w:p w14:paraId="28139F11" w14:textId="77777777" w:rsidR="00FC0782" w:rsidRPr="00FC0782" w:rsidRDefault="00EB411C" w:rsidP="00FC0782">
      <w:pPr>
        <w:pStyle w:val="BodyText"/>
      </w:pPr>
      <w:r w:rsidRPr="00FC0782">
        <w:lastRenderedPageBreak/>
        <w:t xml:space="preserve">The Government has brought these reforms together into what it describes as the </w:t>
      </w:r>
      <w:r w:rsidR="00FC0782" w:rsidRPr="00FC0782">
        <w:t>five pillars to support aged care reform (home care; residential aged care services and sustainability; residential aged care quality and safety; workforce; and governance).</w:t>
      </w:r>
    </w:p>
    <w:p w14:paraId="560FB105" w14:textId="6731A4FB" w:rsidR="00A62CE2" w:rsidRPr="00FC0782" w:rsidRDefault="00FC0782" w:rsidP="00FC0782">
      <w:pPr>
        <w:pStyle w:val="BodyText"/>
        <w:rPr>
          <w:rStyle w:val="Hyperlink"/>
          <w:color w:val="auto"/>
          <w:u w:val="none"/>
        </w:rPr>
      </w:pPr>
      <w:r w:rsidRPr="00FC0782">
        <w:t xml:space="preserve">It has summarised these, and their proposed staging over the five year period, in the infographic at Attachment A. </w:t>
      </w:r>
      <w:r w:rsidR="00CF21CD" w:rsidRPr="00FC0782">
        <w:t xml:space="preserve">This information is also available as an accessible PDF, which you can </w:t>
      </w:r>
      <w:hyperlink r:id="rId13" w:history="1">
        <w:r w:rsidR="001A6E5B" w:rsidRPr="001A6E5B">
          <w:rPr>
            <w:rStyle w:val="Hyperlink"/>
          </w:rPr>
          <w:t>download here.</w:t>
        </w:r>
      </w:hyperlink>
    </w:p>
    <w:p w14:paraId="28ECEC6E" w14:textId="1799C80D" w:rsidR="00FC0782" w:rsidRPr="00FC0782" w:rsidRDefault="00FC0782" w:rsidP="00FC0782">
      <w:pPr>
        <w:pStyle w:val="Heading2"/>
        <w:rPr>
          <w:rStyle w:val="Hyperlink"/>
          <w:u w:val="none"/>
        </w:rPr>
      </w:pPr>
      <w:r w:rsidRPr="00FC0782">
        <w:rPr>
          <w:rStyle w:val="Hyperlink"/>
          <w:u w:val="none"/>
        </w:rPr>
        <w:t xml:space="preserve">How do the government's commitments measure up against the sector's asks? </w:t>
      </w:r>
    </w:p>
    <w:p w14:paraId="6BD8FACF" w14:textId="75C73569" w:rsidR="00FC0782" w:rsidRPr="00FC0782" w:rsidRDefault="00FC0782" w:rsidP="00FC0782">
      <w:pPr>
        <w:pStyle w:val="BodyText"/>
      </w:pPr>
      <w:r w:rsidRPr="00FC0782">
        <w:t xml:space="preserve">In December 2019, Vision 2020 Australia </w:t>
      </w:r>
      <w:hyperlink r:id="rId14" w:history="1">
        <w:r w:rsidRPr="00FC0782">
          <w:rPr>
            <w:rStyle w:val="Hyperlink"/>
            <w:color w:val="auto"/>
            <w:u w:val="none"/>
          </w:rPr>
          <w:t>made a submission</w:t>
        </w:r>
      </w:hyperlink>
      <w:r w:rsidRPr="00FC0782">
        <w:t xml:space="preserve"> to the Royal Commission into Aged Care Quality and Safety, </w:t>
      </w:r>
      <w:r>
        <w:t>detailing 14</w:t>
      </w:r>
      <w:r w:rsidRPr="00FC0782">
        <w:t xml:space="preserve"> recommendations which would improve system settings for older Australians with vision loss. </w:t>
      </w:r>
    </w:p>
    <w:p w14:paraId="7E1ACABC" w14:textId="4839865A" w:rsidR="00FC0782" w:rsidRPr="00FC0782" w:rsidRDefault="00073D1E" w:rsidP="00FC0782">
      <w:pPr>
        <w:pStyle w:val="BodyText"/>
      </w:pPr>
      <w:r>
        <w:t xml:space="preserve">Some of the government commitments should deliver significant improvements for our sector, </w:t>
      </w:r>
      <w:r w:rsidR="00FC0782" w:rsidRPr="00FC0782">
        <w:t>including changes to the way assistive technology is provided to older Australians</w:t>
      </w:r>
      <w:r w:rsidR="00250390">
        <w:t>,</w:t>
      </w:r>
      <w:r w:rsidR="00FC0782" w:rsidRPr="00FC0782">
        <w:t xml:space="preserve"> </w:t>
      </w:r>
      <w:r>
        <w:t xml:space="preserve">while other recommendations </w:t>
      </w:r>
      <w:r w:rsidR="00FC0782" w:rsidRPr="00FC0782">
        <w:t xml:space="preserve">relevant to our sector remain under consideration, such </w:t>
      </w:r>
      <w:r w:rsidR="001A6E5B">
        <w:t xml:space="preserve">as </w:t>
      </w:r>
      <w:r>
        <w:t>proposals that there be equity of entitlement between aged care and the NDIS</w:t>
      </w:r>
      <w:r w:rsidR="00FC0782" w:rsidRPr="00FC0782">
        <w:t>.</w:t>
      </w:r>
    </w:p>
    <w:p w14:paraId="4FCB07C4" w14:textId="14F7B144" w:rsidR="00FC0782" w:rsidRPr="00FC0782" w:rsidRDefault="00FC0782" w:rsidP="00FC0782">
      <w:pPr>
        <w:pStyle w:val="BodyText"/>
      </w:pPr>
      <w:r w:rsidRPr="00FC0782">
        <w:t>In almost every case, there is little detail about the specific shape of reforms, so further conversations are required. These commitments represent new opportunities to pursue advocacy goals.</w:t>
      </w:r>
      <w:r w:rsidR="00073D1E">
        <w:t xml:space="preserve"> </w:t>
      </w:r>
      <w:r w:rsidRPr="00FC0782">
        <w:t xml:space="preserve">The </w:t>
      </w:r>
      <w:r>
        <w:t>following table provides a</w:t>
      </w:r>
      <w:r w:rsidR="00073D1E">
        <w:t xml:space="preserve"> high level </w:t>
      </w:r>
      <w:r>
        <w:t xml:space="preserve">analysis of the recommendations made by the sector, and government commitments as/where relevant.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963"/>
      </w:tblGrid>
      <w:tr w:rsidR="00FC0782" w14:paraId="3DF977B9" w14:textId="77777777" w:rsidTr="00073D1E">
        <w:trPr>
          <w:tblHeader/>
        </w:trPr>
        <w:tc>
          <w:tcPr>
            <w:tcW w:w="5665" w:type="dxa"/>
            <w:shd w:val="clear" w:color="auto" w:fill="000000" w:themeFill="text1"/>
          </w:tcPr>
          <w:p w14:paraId="1651900B" w14:textId="461649C8" w:rsidR="00FC0782" w:rsidRDefault="00FC0782" w:rsidP="00FC0782">
            <w:pPr>
              <w:pStyle w:val="BodyText"/>
              <w:spacing w:before="0" w:after="0"/>
            </w:pPr>
            <w:r>
              <w:t>Sector recommendation</w:t>
            </w:r>
          </w:p>
        </w:tc>
        <w:tc>
          <w:tcPr>
            <w:tcW w:w="3963" w:type="dxa"/>
            <w:shd w:val="clear" w:color="auto" w:fill="000000" w:themeFill="text1"/>
          </w:tcPr>
          <w:p w14:paraId="520FA9FF" w14:textId="77777777" w:rsidR="00FC0782" w:rsidRDefault="00FC0782" w:rsidP="00FC0782">
            <w:pPr>
              <w:pStyle w:val="BodyText"/>
              <w:spacing w:before="0" w:after="0"/>
            </w:pPr>
            <w:r>
              <w:t>Government Commitment</w:t>
            </w:r>
          </w:p>
        </w:tc>
      </w:tr>
      <w:tr w:rsidR="00FC0782" w14:paraId="3A5A8A5F" w14:textId="77777777" w:rsidTr="00073D1E">
        <w:tc>
          <w:tcPr>
            <w:tcW w:w="5665" w:type="dxa"/>
          </w:tcPr>
          <w:p w14:paraId="1EB34463" w14:textId="79B9C6E2" w:rsidR="00FC0782" w:rsidRDefault="00FC0782" w:rsidP="00073D1E">
            <w:pPr>
              <w:pStyle w:val="BodyText"/>
              <w:numPr>
                <w:ilvl w:val="0"/>
                <w:numId w:val="36"/>
              </w:numPr>
              <w:spacing w:before="0" w:after="0"/>
            </w:pPr>
            <w:r w:rsidRPr="00613816">
              <w:rPr>
                <w:b/>
              </w:rPr>
              <w:t>Amend legislation</w:t>
            </w:r>
            <w:r>
              <w:t xml:space="preserve"> to provide access to blindness and low vision services and equipment for older Australians who are otherwise healthy and well, to help keep them independent and active</w:t>
            </w:r>
          </w:p>
        </w:tc>
        <w:tc>
          <w:tcPr>
            <w:tcW w:w="3963" w:type="dxa"/>
          </w:tcPr>
          <w:p w14:paraId="5E533D10" w14:textId="01A063B1" w:rsidR="00FC0782" w:rsidRDefault="00FC0782" w:rsidP="00FC0782">
            <w:pPr>
              <w:pStyle w:val="BodyText"/>
              <w:spacing w:before="0" w:after="0"/>
            </w:pPr>
            <w:r>
              <w:t>A new aged care act to commence</w:t>
            </w:r>
            <w:r w:rsidR="00250390">
              <w:t xml:space="preserve"> </w:t>
            </w:r>
            <w:r>
              <w:t>Jul</w:t>
            </w:r>
            <w:r w:rsidR="00073D1E">
              <w:t>y</w:t>
            </w:r>
            <w:r>
              <w:t xml:space="preserve"> 2023.</w:t>
            </w:r>
          </w:p>
        </w:tc>
      </w:tr>
      <w:tr w:rsidR="00FC0782" w14:paraId="5B598416" w14:textId="77777777" w:rsidTr="00073D1E">
        <w:tc>
          <w:tcPr>
            <w:tcW w:w="5665" w:type="dxa"/>
          </w:tcPr>
          <w:p w14:paraId="157325CC" w14:textId="670FCBC7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Amend the assessment model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 to more fully recognise, assess and respond to needs of older Australians with blindness or vision loss </w:t>
            </w:r>
          </w:p>
        </w:tc>
        <w:tc>
          <w:tcPr>
            <w:tcW w:w="3963" w:type="dxa"/>
          </w:tcPr>
          <w:p w14:paraId="7D7DBA1A" w14:textId="77777777" w:rsidR="00FC0782" w:rsidRDefault="00FC0782" w:rsidP="00FC0782">
            <w:pPr>
              <w:pStyle w:val="BodyText"/>
              <w:spacing w:before="0" w:after="0"/>
            </w:pPr>
            <w:r>
              <w:t>ACAT and RAS assessments to be replaced with single unified assessment service as per Royal Commission Rec. 28.</w:t>
            </w:r>
          </w:p>
        </w:tc>
      </w:tr>
      <w:tr w:rsidR="00FC0782" w14:paraId="5ADABEAD" w14:textId="77777777" w:rsidTr="00073D1E">
        <w:tc>
          <w:tcPr>
            <w:tcW w:w="5665" w:type="dxa"/>
          </w:tcPr>
          <w:p w14:paraId="20EE95EF" w14:textId="64097EE9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szCs w:val="24"/>
                <w:lang w:eastAsia="en-AU"/>
              </w:rPr>
              <w:t>Adjust current tender documents and contractual arrangements to ensure that where an expert assessment in relation to vision loss is required,</w:t>
            </w: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 xml:space="preserve"> the specialist provider is routinely reimbursed 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for providing that assessment</w:t>
            </w:r>
          </w:p>
        </w:tc>
        <w:tc>
          <w:tcPr>
            <w:tcW w:w="3963" w:type="dxa"/>
          </w:tcPr>
          <w:p w14:paraId="7BFAAD64" w14:textId="77777777" w:rsidR="00FC0782" w:rsidRDefault="00FC0782" w:rsidP="00FC0782">
            <w:pPr>
              <w:pStyle w:val="BodyText"/>
              <w:spacing w:before="0" w:after="0"/>
            </w:pPr>
            <w:r>
              <w:t>Not explicitly addressed, but could be included as part of new assessment model.</w:t>
            </w:r>
          </w:p>
        </w:tc>
      </w:tr>
      <w:tr w:rsidR="00FC0782" w14:paraId="2EDE6398" w14:textId="77777777" w:rsidTr="00073D1E">
        <w:tc>
          <w:tcPr>
            <w:tcW w:w="5665" w:type="dxa"/>
          </w:tcPr>
          <w:p w14:paraId="51E533BE" w14:textId="5B56A6E1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 xml:space="preserve">Increase funding flexibility through the CHSP and supporting early intervention 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approaches for older Australians diagnosed with progressive vision loss that will maintain their function and minimise their need for more costly, ongoing support</w:t>
            </w:r>
          </w:p>
        </w:tc>
        <w:tc>
          <w:tcPr>
            <w:tcW w:w="3963" w:type="dxa"/>
          </w:tcPr>
          <w:p w14:paraId="60FEED31" w14:textId="77777777" w:rsidR="00FC0782" w:rsidRDefault="00FC0782" w:rsidP="00FC0782">
            <w:pPr>
              <w:pStyle w:val="BodyText"/>
              <w:spacing w:before="0" w:after="0"/>
            </w:pPr>
            <w:r>
              <w:t>Partially addressed by new unified care-at-home system and single assessment pathway, removing wait times and administrative burden.</w:t>
            </w:r>
          </w:p>
        </w:tc>
      </w:tr>
      <w:tr w:rsidR="00FC0782" w14:paraId="798F6076" w14:textId="77777777" w:rsidTr="00073D1E">
        <w:tc>
          <w:tcPr>
            <w:tcW w:w="5665" w:type="dxa"/>
          </w:tcPr>
          <w:p w14:paraId="249F7C30" w14:textId="77777777" w:rsidR="00FC0782" w:rsidRPr="001B3945" w:rsidRDefault="00FC0782" w:rsidP="00FC0782">
            <w:pPr>
              <w:numPr>
                <w:ilvl w:val="0"/>
                <w:numId w:val="36"/>
              </w:numPr>
              <w:spacing w:line="264" w:lineRule="auto"/>
              <w:rPr>
                <w:rFonts w:eastAsia="Times New Roman" w:cs="Times New Roman"/>
                <w:szCs w:val="24"/>
                <w:lang w:eastAsia="en-AU"/>
              </w:rPr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Ensure funding is sufficient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 to meet the costs of specialist assessment, supports and services for older Australians who are blind or have low vision </w:t>
            </w:r>
          </w:p>
          <w:p w14:paraId="156BF93C" w14:textId="77777777" w:rsidR="00FC0782" w:rsidRDefault="00FC0782" w:rsidP="00FC0782">
            <w:pPr>
              <w:pStyle w:val="BodyText"/>
              <w:spacing w:before="0" w:after="0"/>
            </w:pPr>
          </w:p>
        </w:tc>
        <w:tc>
          <w:tcPr>
            <w:tcW w:w="3963" w:type="dxa"/>
          </w:tcPr>
          <w:p w14:paraId="6A452452" w14:textId="19A4897D" w:rsidR="00FC0782" w:rsidRDefault="00FC0782" w:rsidP="00FC0782">
            <w:pPr>
              <w:pStyle w:val="BodyText"/>
              <w:spacing w:before="0" w:after="0"/>
            </w:pPr>
            <w:r>
              <w:t xml:space="preserve">Royal Commission Recs to provide supports equivalent to NDIS (72) and abolish co-contributions for assistive tech (125) remain under consideration. Assistive technology and home modification funding will be </w:t>
            </w:r>
            <w:r>
              <w:lastRenderedPageBreak/>
              <w:t>reconsidered as per Rec. 34</w:t>
            </w:r>
            <w:r w:rsidR="003A68D2">
              <w:t>. Govt accepts in principle Rec. 41, which says that buy Jul 24, Aged Care Provision Ratio should be replaced with needs-based funding allocation system.</w:t>
            </w:r>
          </w:p>
        </w:tc>
      </w:tr>
      <w:tr w:rsidR="00FC0782" w14:paraId="64F36A48" w14:textId="77777777" w:rsidTr="00073D1E">
        <w:tc>
          <w:tcPr>
            <w:tcW w:w="5665" w:type="dxa"/>
          </w:tcPr>
          <w:p w14:paraId="6D5F85C5" w14:textId="264CF7B5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lastRenderedPageBreak/>
              <w:t>Strengthen the obligation on providers to ensure that the basic visual needs of older Australians are met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, recognising the significant role that vision plays in contributing to continued independence and participation</w:t>
            </w:r>
          </w:p>
        </w:tc>
        <w:tc>
          <w:tcPr>
            <w:tcW w:w="3963" w:type="dxa"/>
          </w:tcPr>
          <w:p w14:paraId="049BB821" w14:textId="54D17766" w:rsidR="00FC0782" w:rsidRDefault="00FC0782" w:rsidP="00FC0782">
            <w:pPr>
              <w:pStyle w:val="BodyText"/>
              <w:spacing w:before="0" w:after="0"/>
            </w:pPr>
            <w:r>
              <w:t>Could be addressed by new Aged Care Act</w:t>
            </w:r>
            <w:r w:rsidR="003A68D2">
              <w:t xml:space="preserve">. </w:t>
            </w:r>
            <w:r w:rsidR="00A83C24">
              <w:t>In response to Rec. 30, govt to implement</w:t>
            </w:r>
            <w:r w:rsidR="00250390">
              <w:t xml:space="preserve"> </w:t>
            </w:r>
            <w:r w:rsidR="00A83C24">
              <w:t>Specialisation Verification Framework and Aged Care Data Strategy to improve service for people with diverse life experience (inc. disability).</w:t>
            </w:r>
          </w:p>
        </w:tc>
      </w:tr>
      <w:tr w:rsidR="00FC0782" w14:paraId="74213F62" w14:textId="77777777" w:rsidTr="00073D1E">
        <w:tc>
          <w:tcPr>
            <w:tcW w:w="5665" w:type="dxa"/>
          </w:tcPr>
          <w:p w14:paraId="0502064D" w14:textId="71C798CB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Adjust current tender documents and contractual arrangements to clarify and confirm that where vision loss requires specialist service provision such as orientation and mobility training to a person living within a residential care facility in relation to vision loss, the </w:t>
            </w: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provider of that service is routinely reimbursed for providing that service</w:t>
            </w:r>
          </w:p>
        </w:tc>
        <w:tc>
          <w:tcPr>
            <w:tcW w:w="3963" w:type="dxa"/>
          </w:tcPr>
          <w:p w14:paraId="39B87304" w14:textId="2BEAF51D" w:rsidR="00FC0782" w:rsidRDefault="00A83C24" w:rsidP="00FC0782">
            <w:pPr>
              <w:pStyle w:val="BodyText"/>
              <w:spacing w:before="0" w:after="0"/>
            </w:pPr>
            <w:r>
              <w:t>Partially addressed. Govt accepts Rec. 37, suggesting new, needs-based commitments to support of people in residential care. Govt accepts in principle Rec. 38, suggesting</w:t>
            </w:r>
            <w:r w:rsidR="00250390">
              <w:t xml:space="preserve"> </w:t>
            </w:r>
            <w:r>
              <w:t>explicit funding arrangements for allied health in residential care, including OT and optometrists.</w:t>
            </w:r>
          </w:p>
        </w:tc>
      </w:tr>
      <w:tr w:rsidR="00FC0782" w14:paraId="640F1BCD" w14:textId="77777777" w:rsidTr="00073D1E">
        <w:tc>
          <w:tcPr>
            <w:tcW w:w="5665" w:type="dxa"/>
          </w:tcPr>
          <w:p w14:paraId="4B9DD17A" w14:textId="113D8CE0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Develop a </w:t>
            </w: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national strategy to support timely and streamlined access to the low vision aids and equipment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 older Australians need</w:t>
            </w:r>
          </w:p>
        </w:tc>
        <w:tc>
          <w:tcPr>
            <w:tcW w:w="3963" w:type="dxa"/>
          </w:tcPr>
          <w:p w14:paraId="007A0499" w14:textId="08BABA19" w:rsidR="00FC0782" w:rsidRDefault="00FC0782" w:rsidP="00FC0782">
            <w:pPr>
              <w:pStyle w:val="BodyText"/>
              <w:spacing w:before="0" w:after="0"/>
            </w:pPr>
            <w:r>
              <w:t xml:space="preserve">A grant-funded assistive technology category </w:t>
            </w:r>
            <w:r w:rsidR="00FB5548">
              <w:t xml:space="preserve">for those living at home </w:t>
            </w:r>
            <w:r>
              <w:t>to be introduced by July 2022</w:t>
            </w:r>
            <w:r w:rsidR="00A83C24">
              <w:t xml:space="preserve"> as per Rec. 34.</w:t>
            </w:r>
            <w:r w:rsidR="00FB5548">
              <w:t xml:space="preserve"> In response to Rec 37, govt to reconsider AT provision in residential care.</w:t>
            </w:r>
          </w:p>
        </w:tc>
      </w:tr>
      <w:tr w:rsidR="00FC0782" w14:paraId="301E896D" w14:textId="77777777" w:rsidTr="00073D1E">
        <w:tc>
          <w:tcPr>
            <w:tcW w:w="5665" w:type="dxa"/>
          </w:tcPr>
          <w:p w14:paraId="4E2A6E46" w14:textId="45DD2737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Implement </w:t>
            </w: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standardised referral pathways for blindness and low vision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, so that people experiencing vision loss can access services that allow their vision to be maximised/preserved as much as possible</w:t>
            </w:r>
          </w:p>
        </w:tc>
        <w:tc>
          <w:tcPr>
            <w:tcW w:w="3963" w:type="dxa"/>
          </w:tcPr>
          <w:p w14:paraId="4CD55B5B" w14:textId="791BE68C" w:rsidR="00FC0782" w:rsidRDefault="00FC0782" w:rsidP="00FC0782">
            <w:pPr>
              <w:pStyle w:val="BodyText"/>
              <w:spacing w:before="0" w:after="0"/>
            </w:pPr>
            <w:r>
              <w:t>Not explicitly addressed</w:t>
            </w:r>
            <w:r w:rsidR="00FB5548">
              <w:t>,</w:t>
            </w:r>
            <w:r>
              <w:t xml:space="preserve"> but could be achieved as part of new assessment mode</w:t>
            </w:r>
            <w:r w:rsidR="00FB5548">
              <w:t xml:space="preserve">l. See also Recs 27-31. </w:t>
            </w:r>
          </w:p>
        </w:tc>
      </w:tr>
      <w:tr w:rsidR="00FC0782" w14:paraId="58924C4B" w14:textId="77777777" w:rsidTr="00073D1E">
        <w:tc>
          <w:tcPr>
            <w:tcW w:w="5665" w:type="dxa"/>
          </w:tcPr>
          <w:p w14:paraId="529F8C11" w14:textId="01521ADC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Enhance training and development opportunities for assessors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 </w:t>
            </w: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and aged care workers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, supported by appropriately tailored resources and supports</w:t>
            </w:r>
          </w:p>
        </w:tc>
        <w:tc>
          <w:tcPr>
            <w:tcW w:w="3963" w:type="dxa"/>
          </w:tcPr>
          <w:p w14:paraId="4DCD5067" w14:textId="77777777" w:rsidR="00FC0782" w:rsidRDefault="00FC0782" w:rsidP="00FC0782">
            <w:pPr>
              <w:pStyle w:val="BodyText"/>
              <w:spacing w:before="0" w:after="0"/>
            </w:pPr>
            <w:r>
              <w:t>Addressed through significant new workforce training and retention measures. Only needing to train one assessment workforce re: vision loss also positive development.</w:t>
            </w:r>
          </w:p>
        </w:tc>
      </w:tr>
      <w:tr w:rsidR="00FC0782" w14:paraId="504730BE" w14:textId="77777777" w:rsidTr="00073D1E">
        <w:tc>
          <w:tcPr>
            <w:tcW w:w="5665" w:type="dxa"/>
          </w:tcPr>
          <w:p w14:paraId="494ACC9C" w14:textId="503632C9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Trial a blindness and low vision ‘hotline’ for assessors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, providing expert advice and guidance to enhance assessment of older Australians with blindness or vision loss</w:t>
            </w:r>
          </w:p>
        </w:tc>
        <w:tc>
          <w:tcPr>
            <w:tcW w:w="3963" w:type="dxa"/>
          </w:tcPr>
          <w:p w14:paraId="559856CF" w14:textId="77777777" w:rsidR="00FC0782" w:rsidRDefault="00FC0782" w:rsidP="00FC0782">
            <w:pPr>
              <w:pStyle w:val="BodyText"/>
              <w:spacing w:before="0" w:after="0"/>
            </w:pPr>
            <w:r>
              <w:t>Not yet addressed.</w:t>
            </w:r>
          </w:p>
        </w:tc>
      </w:tr>
      <w:tr w:rsidR="00FC0782" w14:paraId="2C8F4BE9" w14:textId="77777777" w:rsidTr="00073D1E">
        <w:tc>
          <w:tcPr>
            <w:tcW w:w="5665" w:type="dxa"/>
          </w:tcPr>
          <w:p w14:paraId="04E784F9" w14:textId="274D555F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Increase the flexibility and funding of patient transport services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 for older Australians in residential aged care living with vision loss, so they can access the required sight preserving treatments</w:t>
            </w:r>
          </w:p>
        </w:tc>
        <w:tc>
          <w:tcPr>
            <w:tcW w:w="3963" w:type="dxa"/>
          </w:tcPr>
          <w:p w14:paraId="40E50220" w14:textId="1B565375" w:rsidR="00FC0782" w:rsidRDefault="00FC0782" w:rsidP="00FC0782">
            <w:pPr>
              <w:pStyle w:val="BodyText"/>
              <w:spacing w:before="0" w:after="0"/>
            </w:pPr>
            <w:r>
              <w:t xml:space="preserve">May be addressed by government measure “Residential Aged Care Quality and Safety – Improving Access to primary Care and Other </w:t>
            </w:r>
            <w:r>
              <w:lastRenderedPageBreak/>
              <w:t>Health Services”</w:t>
            </w:r>
            <w:r w:rsidR="00FB5548">
              <w:t>, as well as response to Recs 37 and 38.</w:t>
            </w:r>
          </w:p>
        </w:tc>
      </w:tr>
      <w:tr w:rsidR="00FC0782" w14:paraId="412E8C8B" w14:textId="77777777" w:rsidTr="00073D1E">
        <w:trPr>
          <w:trHeight w:val="1642"/>
        </w:trPr>
        <w:tc>
          <w:tcPr>
            <w:tcW w:w="5665" w:type="dxa"/>
          </w:tcPr>
          <w:p w14:paraId="4AE066D8" w14:textId="788506D6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lastRenderedPageBreak/>
              <w:t>Mandate accessibility requirements for complaints processes and other key documents/processes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 essential to ensuring residents with vision loss are aware of their options, choices and avenues for raising issues and suggestions</w:t>
            </w:r>
          </w:p>
        </w:tc>
        <w:tc>
          <w:tcPr>
            <w:tcW w:w="3963" w:type="dxa"/>
          </w:tcPr>
          <w:p w14:paraId="1DD64C01" w14:textId="552BFFCF" w:rsidR="00FC0782" w:rsidRDefault="00FC0782" w:rsidP="00FC0782">
            <w:pPr>
              <w:pStyle w:val="BodyText"/>
              <w:spacing w:before="0" w:after="0"/>
            </w:pPr>
            <w:r>
              <w:t>May be partially addressed through new Aged Care Act and/or new national quality and safeguards system</w:t>
            </w:r>
            <w:r w:rsidR="004559BB">
              <w:t>. Govt accepts Rec. 24, for a starred system allowing people to compare providers, and Rec. 27, to improve the usefulness and accessibility of information offered through My Aged Care portal.</w:t>
            </w:r>
          </w:p>
        </w:tc>
      </w:tr>
      <w:tr w:rsidR="00FC0782" w14:paraId="2F6AED1B" w14:textId="77777777" w:rsidTr="00073D1E">
        <w:tc>
          <w:tcPr>
            <w:tcW w:w="5665" w:type="dxa"/>
          </w:tcPr>
          <w:p w14:paraId="740F228D" w14:textId="226437B4" w:rsidR="00FC0782" w:rsidRDefault="00FC0782" w:rsidP="00073D1E">
            <w:pPr>
              <w:numPr>
                <w:ilvl w:val="0"/>
                <w:numId w:val="36"/>
              </w:numPr>
              <w:spacing w:line="264" w:lineRule="auto"/>
            </w:pPr>
            <w:r w:rsidRPr="001B3945">
              <w:rPr>
                <w:rFonts w:eastAsia="Times New Roman" w:cs="Times New Roman"/>
                <w:szCs w:val="24"/>
                <w:lang w:eastAsia="en-AU"/>
              </w:rPr>
              <w:t xml:space="preserve">Clarify expectations for the </w:t>
            </w:r>
            <w:r w:rsidRPr="001B3945">
              <w:rPr>
                <w:rFonts w:eastAsia="Times New Roman" w:cs="Times New Roman"/>
                <w:b/>
                <w:szCs w:val="24"/>
                <w:lang w:eastAsia="en-AU"/>
              </w:rPr>
              <w:t>accessibility of aged care facilities</w:t>
            </w:r>
            <w:r w:rsidRPr="001B3945">
              <w:rPr>
                <w:rFonts w:eastAsia="Times New Roman" w:cs="Times New Roman"/>
                <w:szCs w:val="24"/>
                <w:lang w:eastAsia="en-AU"/>
              </w:rPr>
              <w:t>, and embed this in quality assurance mechanisms</w:t>
            </w:r>
          </w:p>
        </w:tc>
        <w:tc>
          <w:tcPr>
            <w:tcW w:w="3963" w:type="dxa"/>
          </w:tcPr>
          <w:p w14:paraId="03AD6E3E" w14:textId="0E66AD05" w:rsidR="00FC0782" w:rsidRDefault="00FC0782" w:rsidP="00FC0782">
            <w:pPr>
              <w:pStyle w:val="BodyText"/>
              <w:spacing w:before="0" w:after="0"/>
            </w:pPr>
            <w:r>
              <w:t>Could be addressed through unified regulation framework</w:t>
            </w:r>
            <w:r w:rsidR="004559BB">
              <w:t xml:space="preserve">. Govt responses to Rec. 22, regarding quality indicators for service delivery, and Rec. 30, regarding designing for diverse groups of people, inc. disability, also relevant here. </w:t>
            </w:r>
          </w:p>
        </w:tc>
      </w:tr>
    </w:tbl>
    <w:p w14:paraId="6646E4AD" w14:textId="7FA34D7E" w:rsidR="00FC0782" w:rsidRDefault="00FC0782" w:rsidP="00FC0782">
      <w:pPr>
        <w:pStyle w:val="BodyText"/>
        <w:ind w:left="360"/>
        <w:sectPr w:rsidR="00FC0782" w:rsidSect="00466227">
          <w:headerReference w:type="default" r:id="rId15"/>
          <w:footerReference w:type="default" r:id="rId16"/>
          <w:footerReference w:type="first" r:id="rId17"/>
          <w:pgSz w:w="11906" w:h="16838" w:code="9"/>
          <w:pgMar w:top="1560" w:right="1134" w:bottom="1418" w:left="1134" w:header="567" w:footer="567" w:gutter="0"/>
          <w:cols w:space="708"/>
          <w:docGrid w:linePitch="360"/>
        </w:sectPr>
      </w:pPr>
    </w:p>
    <w:p w14:paraId="65D7D150" w14:textId="6C5C3B6E" w:rsidR="00FC0782" w:rsidRDefault="00FC0782" w:rsidP="00FC0782">
      <w:pPr>
        <w:pStyle w:val="Heading2"/>
      </w:pPr>
      <w:r>
        <w:lastRenderedPageBreak/>
        <w:t>The five pillars of aged care reform, 2021-2025</w:t>
      </w:r>
    </w:p>
    <w:p w14:paraId="7D9D7591" w14:textId="79652BCE" w:rsidR="00FC0782" w:rsidRDefault="00FC0782" w:rsidP="00FC0782">
      <w:pPr>
        <w:pStyle w:val="BodyText"/>
        <w:ind w:left="360"/>
      </w:pPr>
      <w:r>
        <w:rPr>
          <w:noProof/>
        </w:rPr>
        <w:drawing>
          <wp:inline distT="0" distB="0" distL="0" distR="0" wp14:anchorId="4F82A248" wp14:editId="4F422C67">
            <wp:extent cx="8665995" cy="4432300"/>
            <wp:effectExtent l="0" t="0" r="190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5824" cy="4437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F4494C" w14:textId="01ACC79F" w:rsidR="00FC0782" w:rsidRDefault="00FC0782" w:rsidP="00FC0782">
      <w:pPr>
        <w:pStyle w:val="BodyText"/>
        <w:ind w:left="360"/>
      </w:pPr>
    </w:p>
    <w:sectPr w:rsidR="00FC0782" w:rsidSect="00073D1E">
      <w:pgSz w:w="16838" w:h="11906" w:orient="landscape" w:code="9"/>
      <w:pgMar w:top="1134" w:right="1560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EF79" w14:textId="77777777" w:rsidR="008F5857" w:rsidRDefault="008F5857" w:rsidP="00185154">
      <w:r>
        <w:separator/>
      </w:r>
    </w:p>
    <w:p w14:paraId="754FF070" w14:textId="77777777" w:rsidR="008F5857" w:rsidRDefault="008F5857"/>
  </w:endnote>
  <w:endnote w:type="continuationSeparator" w:id="0">
    <w:p w14:paraId="0CDE4008" w14:textId="77777777" w:rsidR="008F5857" w:rsidRDefault="008F5857" w:rsidP="00185154">
      <w:r>
        <w:continuationSeparator/>
      </w:r>
    </w:p>
    <w:p w14:paraId="454B307F" w14:textId="77777777" w:rsidR="008F5857" w:rsidRDefault="008F5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732779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73AE40" w14:textId="77777777" w:rsidR="005679C3" w:rsidRDefault="005679C3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5F0B9E5" w14:textId="77777777" w:rsidR="005679C3" w:rsidRDefault="005679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8B7E" w14:textId="77777777" w:rsidR="005679C3" w:rsidRDefault="005679C3" w:rsidP="003A754B">
    <w:pPr>
      <w:pStyle w:val="Footer"/>
      <w:ind w:left="-113" w:right="-113"/>
    </w:pPr>
    <w:r w:rsidRPr="003A754B">
      <w:rPr>
        <w:rFonts w:ascii="Arial" w:hAnsi="Arial" w:cs="Arial"/>
        <w:color w:val="004B8D" w:themeColor="accent1"/>
        <w:szCs w:val="24"/>
        <w:lang w:eastAsia="en-AU"/>
      </w:rPr>
      <w:t>National body working in partnership to prevent avoidable blindness and improve vision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7DEA3" w14:textId="77777777" w:rsidR="008F5857" w:rsidRDefault="008F5857" w:rsidP="00185154">
      <w:r>
        <w:separator/>
      </w:r>
    </w:p>
    <w:p w14:paraId="4464FD77" w14:textId="77777777" w:rsidR="008F5857" w:rsidRDefault="008F5857"/>
  </w:footnote>
  <w:footnote w:type="continuationSeparator" w:id="0">
    <w:p w14:paraId="05C498ED" w14:textId="77777777" w:rsidR="008F5857" w:rsidRDefault="008F5857" w:rsidP="00185154">
      <w:r>
        <w:continuationSeparator/>
      </w:r>
    </w:p>
    <w:p w14:paraId="622B6947" w14:textId="77777777" w:rsidR="008F5857" w:rsidRDefault="008F58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DBDB6" w14:textId="77777777" w:rsidR="005679C3" w:rsidRDefault="00A4301A" w:rsidP="00A4301A">
    <w:pPr>
      <w:pStyle w:val="Header"/>
      <w:jc w:val="right"/>
    </w:pPr>
    <w:r>
      <w:rPr>
        <w:noProof/>
      </w:rPr>
      <w:drawing>
        <wp:inline distT="0" distB="0" distL="0" distR="0" wp14:anchorId="3CC122D1" wp14:editId="58617042">
          <wp:extent cx="1100845" cy="793750"/>
          <wp:effectExtent l="0" t="0" r="4445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2020aust_silver_logo_CMY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519" cy="796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3AEF4" w14:textId="77777777" w:rsidR="00A4301A" w:rsidRDefault="00A4301A" w:rsidP="00A4301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5331323"/>
    <w:multiLevelType w:val="hybridMultilevel"/>
    <w:tmpl w:val="D55CE9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4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4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4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4"/>
      </w:rPr>
    </w:lvl>
    <w:lvl w:ilvl="4">
      <w:start w:val="1"/>
      <w:numFmt w:val="upperRoman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4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3" w15:restartNumberingAfterBreak="0">
    <w:nsid w:val="0CCD4DAA"/>
    <w:multiLevelType w:val="multilevel"/>
    <w:tmpl w:val="626C565E"/>
    <w:styleLink w:val="ListTableBulle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sz w:val="24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4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4" w15:restartNumberingAfterBreak="0">
    <w:nsid w:val="0D5B0A29"/>
    <w:multiLevelType w:val="hybridMultilevel"/>
    <w:tmpl w:val="4A7CDE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C6825"/>
    <w:multiLevelType w:val="hybridMultilevel"/>
    <w:tmpl w:val="650637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763E16"/>
    <w:multiLevelType w:val="multilevel"/>
    <w:tmpl w:val="4B043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istAlpha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3DC1BA9"/>
    <w:multiLevelType w:val="hybridMultilevel"/>
    <w:tmpl w:val="9D08B284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873F5"/>
    <w:multiLevelType w:val="hybridMultilevel"/>
    <w:tmpl w:val="B88C5B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941FF"/>
    <w:multiLevelType w:val="hybridMultilevel"/>
    <w:tmpl w:val="9F46E798"/>
    <w:lvl w:ilvl="0" w:tplc="0C090001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41D40"/>
    <w:multiLevelType w:val="multilevel"/>
    <w:tmpl w:val="2FAA1644"/>
    <w:styleLink w:val="ListNumber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upperLetter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4">
      <w:start w:val="1"/>
      <w:numFmt w:val="upperRoman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1" w15:restartNumberingAfterBreak="0">
    <w:nsid w:val="2BC444FC"/>
    <w:multiLevelType w:val="hybridMultilevel"/>
    <w:tmpl w:val="61020C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D09F4"/>
    <w:multiLevelType w:val="hybridMultilevel"/>
    <w:tmpl w:val="45D455C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3912ED"/>
    <w:multiLevelType w:val="multilevel"/>
    <w:tmpl w:val="279CF11E"/>
    <w:styleLink w:val="ListBullet"/>
    <w:lvl w:ilvl="0">
      <w:start w:val="1"/>
      <w:numFmt w:val="bullet"/>
      <w:pStyle w:val="ListBullet0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4"/>
        <w:szCs w:val="20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pStyle w:val="ListBullet3"/>
      <w:lvlText w:val="•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  <w:sz w:val="24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ListBullet5"/>
      <w:lvlText w:val="•"/>
      <w:lvlJc w:val="left"/>
      <w:pPr>
        <w:tabs>
          <w:tab w:val="num" w:pos="2126"/>
        </w:tabs>
        <w:ind w:left="2126" w:hanging="425"/>
      </w:pPr>
      <w:rPr>
        <w:rFonts w:ascii="Arial" w:hAnsi="Arial" w:hint="default"/>
        <w:color w:val="auto"/>
        <w:sz w:val="24"/>
      </w:rPr>
    </w:lvl>
    <w:lvl w:ilvl="5">
      <w:start w:val="1"/>
      <w:numFmt w:val="bullet"/>
      <w:pStyle w:val="ListBullet6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8B81813"/>
    <w:multiLevelType w:val="hybridMultilevel"/>
    <w:tmpl w:val="72AE1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71FAE"/>
    <w:multiLevelType w:val="multilevel"/>
    <w:tmpl w:val="A212FCEE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4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auto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62D7DA5"/>
    <w:multiLevelType w:val="hybridMultilevel"/>
    <w:tmpl w:val="E07C87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90291F"/>
    <w:multiLevelType w:val="hybridMultilevel"/>
    <w:tmpl w:val="757A4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A285A"/>
    <w:multiLevelType w:val="hybridMultilevel"/>
    <w:tmpl w:val="8E420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51C02"/>
    <w:multiLevelType w:val="hybridMultilevel"/>
    <w:tmpl w:val="6E4CD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0627A"/>
    <w:multiLevelType w:val="multilevel"/>
    <w:tmpl w:val="626C565E"/>
    <w:numStyleLink w:val="ListTableBullet"/>
  </w:abstractNum>
  <w:abstractNum w:abstractNumId="21" w15:restartNumberingAfterBreak="0">
    <w:nsid w:val="61792BC7"/>
    <w:multiLevelType w:val="multilevel"/>
    <w:tmpl w:val="BDFC207A"/>
    <w:numStyleLink w:val="ListTableNumber"/>
  </w:abstractNum>
  <w:abstractNum w:abstractNumId="2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3365720"/>
    <w:multiLevelType w:val="hybridMultilevel"/>
    <w:tmpl w:val="76BCA8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84C24"/>
    <w:multiLevelType w:val="hybridMultilevel"/>
    <w:tmpl w:val="849E3766"/>
    <w:lvl w:ilvl="0" w:tplc="9C1424D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1C42B5"/>
    <w:multiLevelType w:val="hybridMultilevel"/>
    <w:tmpl w:val="95F433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AC56CA"/>
    <w:multiLevelType w:val="hybridMultilevel"/>
    <w:tmpl w:val="AF92E4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94972"/>
    <w:multiLevelType w:val="hybridMultilevel"/>
    <w:tmpl w:val="B6F2F8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273E84"/>
    <w:multiLevelType w:val="hybridMultilevel"/>
    <w:tmpl w:val="E0AE0B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0203F"/>
    <w:multiLevelType w:val="multilevel"/>
    <w:tmpl w:val="A212FCEE"/>
    <w:numStyleLink w:val="ListNumberedHeadings"/>
  </w:abstractNum>
  <w:abstractNum w:abstractNumId="30" w15:restartNumberingAfterBreak="0">
    <w:nsid w:val="78CF7BD9"/>
    <w:multiLevelType w:val="hybridMultilevel"/>
    <w:tmpl w:val="1E900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2"/>
  </w:num>
  <w:num w:numId="2">
    <w:abstractNumId w:val="31"/>
  </w:num>
  <w:num w:numId="3">
    <w:abstractNumId w:val="10"/>
  </w:num>
  <w:num w:numId="4">
    <w:abstractNumId w:val="15"/>
  </w:num>
  <w:num w:numId="5">
    <w:abstractNumId w:val="0"/>
  </w:num>
  <w:num w:numId="6">
    <w:abstractNumId w:val="22"/>
  </w:num>
  <w:num w:numId="7">
    <w:abstractNumId w:val="2"/>
  </w:num>
  <w:num w:numId="8">
    <w:abstractNumId w:val="10"/>
  </w:num>
  <w:num w:numId="9">
    <w:abstractNumId w:val="6"/>
  </w:num>
  <w:num w:numId="10">
    <w:abstractNumId w:val="21"/>
  </w:num>
  <w:num w:numId="11">
    <w:abstractNumId w:val="13"/>
  </w:num>
  <w:num w:numId="12">
    <w:abstractNumId w:val="3"/>
  </w:num>
  <w:num w:numId="13">
    <w:abstractNumId w:val="20"/>
  </w:num>
  <w:num w:numId="14">
    <w:abstractNumId w:val="29"/>
  </w:num>
  <w:num w:numId="15">
    <w:abstractNumId w:val="27"/>
  </w:num>
  <w:num w:numId="16">
    <w:abstractNumId w:val="26"/>
  </w:num>
  <w:num w:numId="17">
    <w:abstractNumId w:val="10"/>
    <w:lvlOverride w:ilvl="0">
      <w:startOverride w:val="8"/>
    </w:lvlOverride>
  </w:num>
  <w:num w:numId="18">
    <w:abstractNumId w:val="10"/>
    <w:lvlOverride w:ilvl="0">
      <w:startOverride w:val="4"/>
    </w:lvlOverride>
  </w:num>
  <w:num w:numId="19">
    <w:abstractNumId w:val="5"/>
  </w:num>
  <w:num w:numId="20">
    <w:abstractNumId w:val="16"/>
  </w:num>
  <w:num w:numId="21">
    <w:abstractNumId w:val="10"/>
    <w:lvlOverride w:ilvl="0">
      <w:startOverride w:val="10"/>
    </w:lvlOverride>
  </w:num>
  <w:num w:numId="22">
    <w:abstractNumId w:val="11"/>
  </w:num>
  <w:num w:numId="23">
    <w:abstractNumId w:val="18"/>
  </w:num>
  <w:num w:numId="24">
    <w:abstractNumId w:val="8"/>
  </w:num>
  <w:num w:numId="25">
    <w:abstractNumId w:val="24"/>
  </w:num>
  <w:num w:numId="26">
    <w:abstractNumId w:val="4"/>
  </w:num>
  <w:num w:numId="27">
    <w:abstractNumId w:val="7"/>
  </w:num>
  <w:num w:numId="28">
    <w:abstractNumId w:val="19"/>
  </w:num>
  <w:num w:numId="29">
    <w:abstractNumId w:val="25"/>
  </w:num>
  <w:num w:numId="30">
    <w:abstractNumId w:val="30"/>
  </w:num>
  <w:num w:numId="31">
    <w:abstractNumId w:val="1"/>
  </w:num>
  <w:num w:numId="32">
    <w:abstractNumId w:val="14"/>
  </w:num>
  <w:num w:numId="33">
    <w:abstractNumId w:val="23"/>
  </w:num>
  <w:num w:numId="34">
    <w:abstractNumId w:val="9"/>
  </w:num>
  <w:num w:numId="35">
    <w:abstractNumId w:val="28"/>
  </w:num>
  <w:num w:numId="36">
    <w:abstractNumId w:val="12"/>
  </w:num>
  <w:num w:numId="37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9D"/>
    <w:rsid w:val="00006100"/>
    <w:rsid w:val="00007607"/>
    <w:rsid w:val="000109AA"/>
    <w:rsid w:val="000109C3"/>
    <w:rsid w:val="00020013"/>
    <w:rsid w:val="00024010"/>
    <w:rsid w:val="0002658F"/>
    <w:rsid w:val="00031568"/>
    <w:rsid w:val="00035779"/>
    <w:rsid w:val="000358CA"/>
    <w:rsid w:val="000427B8"/>
    <w:rsid w:val="00044033"/>
    <w:rsid w:val="00065E72"/>
    <w:rsid w:val="00071C7D"/>
    <w:rsid w:val="00073D1E"/>
    <w:rsid w:val="00076F97"/>
    <w:rsid w:val="000771B8"/>
    <w:rsid w:val="00085C49"/>
    <w:rsid w:val="000870BB"/>
    <w:rsid w:val="000871DC"/>
    <w:rsid w:val="00087D93"/>
    <w:rsid w:val="0009173E"/>
    <w:rsid w:val="00096351"/>
    <w:rsid w:val="000977DA"/>
    <w:rsid w:val="000A457E"/>
    <w:rsid w:val="000B3EBE"/>
    <w:rsid w:val="000B55F2"/>
    <w:rsid w:val="000B6FA1"/>
    <w:rsid w:val="000C0C22"/>
    <w:rsid w:val="000C1D1E"/>
    <w:rsid w:val="000C5684"/>
    <w:rsid w:val="000C6408"/>
    <w:rsid w:val="000E1D06"/>
    <w:rsid w:val="000E61D6"/>
    <w:rsid w:val="000F1536"/>
    <w:rsid w:val="000F319C"/>
    <w:rsid w:val="000F4A35"/>
    <w:rsid w:val="000F4B2E"/>
    <w:rsid w:val="00100334"/>
    <w:rsid w:val="00102E27"/>
    <w:rsid w:val="00103EC7"/>
    <w:rsid w:val="001063C6"/>
    <w:rsid w:val="00114486"/>
    <w:rsid w:val="001244F3"/>
    <w:rsid w:val="00124640"/>
    <w:rsid w:val="0013218E"/>
    <w:rsid w:val="00140E8B"/>
    <w:rsid w:val="00145CCD"/>
    <w:rsid w:val="001474A2"/>
    <w:rsid w:val="001505D8"/>
    <w:rsid w:val="001510CC"/>
    <w:rsid w:val="00153072"/>
    <w:rsid w:val="0015359A"/>
    <w:rsid w:val="00154790"/>
    <w:rsid w:val="00156423"/>
    <w:rsid w:val="0015659E"/>
    <w:rsid w:val="001600E5"/>
    <w:rsid w:val="00162854"/>
    <w:rsid w:val="00173602"/>
    <w:rsid w:val="00173B88"/>
    <w:rsid w:val="00175B12"/>
    <w:rsid w:val="00177E38"/>
    <w:rsid w:val="001809F6"/>
    <w:rsid w:val="001829A7"/>
    <w:rsid w:val="00185154"/>
    <w:rsid w:val="001863E0"/>
    <w:rsid w:val="00186E49"/>
    <w:rsid w:val="0019114D"/>
    <w:rsid w:val="001941C3"/>
    <w:rsid w:val="00197583"/>
    <w:rsid w:val="001A1AB9"/>
    <w:rsid w:val="001A6E5B"/>
    <w:rsid w:val="001B3945"/>
    <w:rsid w:val="001B44F6"/>
    <w:rsid w:val="001B6734"/>
    <w:rsid w:val="001C00EC"/>
    <w:rsid w:val="001C05DC"/>
    <w:rsid w:val="001C3C50"/>
    <w:rsid w:val="001C463E"/>
    <w:rsid w:val="001C5C81"/>
    <w:rsid w:val="001C762C"/>
    <w:rsid w:val="001C79EC"/>
    <w:rsid w:val="001D2C9B"/>
    <w:rsid w:val="001D695A"/>
    <w:rsid w:val="001E2A53"/>
    <w:rsid w:val="001E32C6"/>
    <w:rsid w:val="001F16CA"/>
    <w:rsid w:val="001F6584"/>
    <w:rsid w:val="00201228"/>
    <w:rsid w:val="00204523"/>
    <w:rsid w:val="002078C1"/>
    <w:rsid w:val="002106C4"/>
    <w:rsid w:val="00210DEF"/>
    <w:rsid w:val="00214171"/>
    <w:rsid w:val="00214611"/>
    <w:rsid w:val="00215830"/>
    <w:rsid w:val="00216726"/>
    <w:rsid w:val="00222215"/>
    <w:rsid w:val="002346C4"/>
    <w:rsid w:val="0023548C"/>
    <w:rsid w:val="00237189"/>
    <w:rsid w:val="0023751D"/>
    <w:rsid w:val="00241057"/>
    <w:rsid w:val="00241466"/>
    <w:rsid w:val="00250390"/>
    <w:rsid w:val="0025119D"/>
    <w:rsid w:val="00252201"/>
    <w:rsid w:val="002530F2"/>
    <w:rsid w:val="00254DD8"/>
    <w:rsid w:val="00257C1A"/>
    <w:rsid w:val="002646DC"/>
    <w:rsid w:val="00264981"/>
    <w:rsid w:val="00271ECA"/>
    <w:rsid w:val="002764F9"/>
    <w:rsid w:val="00290D58"/>
    <w:rsid w:val="00293B50"/>
    <w:rsid w:val="002A590E"/>
    <w:rsid w:val="002A6FB5"/>
    <w:rsid w:val="002B4003"/>
    <w:rsid w:val="002B4D82"/>
    <w:rsid w:val="002C1ACA"/>
    <w:rsid w:val="002C48A3"/>
    <w:rsid w:val="002C5B1C"/>
    <w:rsid w:val="002D0148"/>
    <w:rsid w:val="002D0339"/>
    <w:rsid w:val="002D4254"/>
    <w:rsid w:val="002D4B73"/>
    <w:rsid w:val="002D4E6E"/>
    <w:rsid w:val="002D7E52"/>
    <w:rsid w:val="002E3714"/>
    <w:rsid w:val="002E62B5"/>
    <w:rsid w:val="002E78D5"/>
    <w:rsid w:val="002F2F7A"/>
    <w:rsid w:val="002F4862"/>
    <w:rsid w:val="00301893"/>
    <w:rsid w:val="003031D5"/>
    <w:rsid w:val="003049B0"/>
    <w:rsid w:val="00307969"/>
    <w:rsid w:val="00311941"/>
    <w:rsid w:val="00314951"/>
    <w:rsid w:val="003206C6"/>
    <w:rsid w:val="003206D1"/>
    <w:rsid w:val="0032117A"/>
    <w:rsid w:val="00321EF7"/>
    <w:rsid w:val="0032296D"/>
    <w:rsid w:val="0032385B"/>
    <w:rsid w:val="00323882"/>
    <w:rsid w:val="003328A3"/>
    <w:rsid w:val="003411DD"/>
    <w:rsid w:val="003435B8"/>
    <w:rsid w:val="00351063"/>
    <w:rsid w:val="00353D22"/>
    <w:rsid w:val="00354EF7"/>
    <w:rsid w:val="00361D39"/>
    <w:rsid w:val="003675A2"/>
    <w:rsid w:val="0037398C"/>
    <w:rsid w:val="0037618F"/>
    <w:rsid w:val="003844EB"/>
    <w:rsid w:val="003853C1"/>
    <w:rsid w:val="00386A7E"/>
    <w:rsid w:val="003905CB"/>
    <w:rsid w:val="003A04C1"/>
    <w:rsid w:val="003A08A5"/>
    <w:rsid w:val="003A6190"/>
    <w:rsid w:val="003A68D2"/>
    <w:rsid w:val="003A754B"/>
    <w:rsid w:val="003B0945"/>
    <w:rsid w:val="003B097F"/>
    <w:rsid w:val="003B126F"/>
    <w:rsid w:val="003B4DCF"/>
    <w:rsid w:val="003B52F8"/>
    <w:rsid w:val="003C0279"/>
    <w:rsid w:val="003C20B8"/>
    <w:rsid w:val="003C291A"/>
    <w:rsid w:val="003C2ABC"/>
    <w:rsid w:val="003D1914"/>
    <w:rsid w:val="003D3B71"/>
    <w:rsid w:val="003D56AF"/>
    <w:rsid w:val="003D71B3"/>
    <w:rsid w:val="003E1EF3"/>
    <w:rsid w:val="003E269E"/>
    <w:rsid w:val="003E2E43"/>
    <w:rsid w:val="003E440F"/>
    <w:rsid w:val="003E4DB5"/>
    <w:rsid w:val="003E5319"/>
    <w:rsid w:val="003F2A13"/>
    <w:rsid w:val="003F5584"/>
    <w:rsid w:val="003F6668"/>
    <w:rsid w:val="003F6C59"/>
    <w:rsid w:val="00401111"/>
    <w:rsid w:val="00401E61"/>
    <w:rsid w:val="004039E5"/>
    <w:rsid w:val="00404615"/>
    <w:rsid w:val="00407776"/>
    <w:rsid w:val="0042124C"/>
    <w:rsid w:val="004254BC"/>
    <w:rsid w:val="00427353"/>
    <w:rsid w:val="00430E4F"/>
    <w:rsid w:val="00432AE5"/>
    <w:rsid w:val="00433580"/>
    <w:rsid w:val="0043564D"/>
    <w:rsid w:val="0043628A"/>
    <w:rsid w:val="0044289A"/>
    <w:rsid w:val="0044475E"/>
    <w:rsid w:val="00444AE6"/>
    <w:rsid w:val="00447417"/>
    <w:rsid w:val="004478FD"/>
    <w:rsid w:val="004517DE"/>
    <w:rsid w:val="004538AF"/>
    <w:rsid w:val="004554DE"/>
    <w:rsid w:val="00455911"/>
    <w:rsid w:val="004559BB"/>
    <w:rsid w:val="0045635E"/>
    <w:rsid w:val="00466227"/>
    <w:rsid w:val="004664FA"/>
    <w:rsid w:val="004700B3"/>
    <w:rsid w:val="0047207E"/>
    <w:rsid w:val="00484686"/>
    <w:rsid w:val="004846EB"/>
    <w:rsid w:val="004876A0"/>
    <w:rsid w:val="00490152"/>
    <w:rsid w:val="00491C59"/>
    <w:rsid w:val="004A30DB"/>
    <w:rsid w:val="004B0964"/>
    <w:rsid w:val="004B0CA4"/>
    <w:rsid w:val="004B3D26"/>
    <w:rsid w:val="004B5E19"/>
    <w:rsid w:val="004B7DAE"/>
    <w:rsid w:val="004C00D5"/>
    <w:rsid w:val="004C3AD7"/>
    <w:rsid w:val="004C6CE6"/>
    <w:rsid w:val="004D0611"/>
    <w:rsid w:val="004D403F"/>
    <w:rsid w:val="004E79A4"/>
    <w:rsid w:val="004F2A3C"/>
    <w:rsid w:val="004F3D6F"/>
    <w:rsid w:val="004F52ED"/>
    <w:rsid w:val="00505C23"/>
    <w:rsid w:val="0051056D"/>
    <w:rsid w:val="00512364"/>
    <w:rsid w:val="00520449"/>
    <w:rsid w:val="005331C9"/>
    <w:rsid w:val="005362EE"/>
    <w:rsid w:val="00540372"/>
    <w:rsid w:val="00541282"/>
    <w:rsid w:val="005472B9"/>
    <w:rsid w:val="00551221"/>
    <w:rsid w:val="0055219D"/>
    <w:rsid w:val="0055353F"/>
    <w:rsid w:val="00557113"/>
    <w:rsid w:val="0056204C"/>
    <w:rsid w:val="005650F1"/>
    <w:rsid w:val="0056633F"/>
    <w:rsid w:val="00566C04"/>
    <w:rsid w:val="005679C3"/>
    <w:rsid w:val="00567D0F"/>
    <w:rsid w:val="005713E5"/>
    <w:rsid w:val="00581D54"/>
    <w:rsid w:val="00590E49"/>
    <w:rsid w:val="00592DEA"/>
    <w:rsid w:val="00592FEE"/>
    <w:rsid w:val="005A435A"/>
    <w:rsid w:val="005A5477"/>
    <w:rsid w:val="005B0C40"/>
    <w:rsid w:val="005D15BB"/>
    <w:rsid w:val="005D5048"/>
    <w:rsid w:val="005D620B"/>
    <w:rsid w:val="005E259B"/>
    <w:rsid w:val="006025ED"/>
    <w:rsid w:val="0061089F"/>
    <w:rsid w:val="006227D9"/>
    <w:rsid w:val="006231D5"/>
    <w:rsid w:val="00624A1E"/>
    <w:rsid w:val="006262B0"/>
    <w:rsid w:val="006264D8"/>
    <w:rsid w:val="00630061"/>
    <w:rsid w:val="006321A2"/>
    <w:rsid w:val="00632AD4"/>
    <w:rsid w:val="00633235"/>
    <w:rsid w:val="00635020"/>
    <w:rsid w:val="006366A1"/>
    <w:rsid w:val="00650212"/>
    <w:rsid w:val="0065325A"/>
    <w:rsid w:val="0065329A"/>
    <w:rsid w:val="00674316"/>
    <w:rsid w:val="006759F6"/>
    <w:rsid w:val="00681BBF"/>
    <w:rsid w:val="00684E74"/>
    <w:rsid w:val="00693FBB"/>
    <w:rsid w:val="006946C5"/>
    <w:rsid w:val="00697C48"/>
    <w:rsid w:val="006A1801"/>
    <w:rsid w:val="006B0BA2"/>
    <w:rsid w:val="006B20AA"/>
    <w:rsid w:val="006B461F"/>
    <w:rsid w:val="006C3975"/>
    <w:rsid w:val="006C4EA2"/>
    <w:rsid w:val="006D0DC3"/>
    <w:rsid w:val="006D22C5"/>
    <w:rsid w:val="006E1ED5"/>
    <w:rsid w:val="006E47C1"/>
    <w:rsid w:val="006F3438"/>
    <w:rsid w:val="00706376"/>
    <w:rsid w:val="00712660"/>
    <w:rsid w:val="007144F5"/>
    <w:rsid w:val="00723E58"/>
    <w:rsid w:val="00724DEB"/>
    <w:rsid w:val="00740C4D"/>
    <w:rsid w:val="0074663C"/>
    <w:rsid w:val="00751D1A"/>
    <w:rsid w:val="00753257"/>
    <w:rsid w:val="00753B17"/>
    <w:rsid w:val="00757A95"/>
    <w:rsid w:val="00770BF1"/>
    <w:rsid w:val="00774E81"/>
    <w:rsid w:val="00775391"/>
    <w:rsid w:val="00777A9F"/>
    <w:rsid w:val="0078781A"/>
    <w:rsid w:val="007955E4"/>
    <w:rsid w:val="007975D6"/>
    <w:rsid w:val="00797A7C"/>
    <w:rsid w:val="007A23C9"/>
    <w:rsid w:val="007A3BD9"/>
    <w:rsid w:val="007A3DE6"/>
    <w:rsid w:val="007A5346"/>
    <w:rsid w:val="007B1B14"/>
    <w:rsid w:val="007B1E80"/>
    <w:rsid w:val="007B2A5D"/>
    <w:rsid w:val="007B6A18"/>
    <w:rsid w:val="007C69D6"/>
    <w:rsid w:val="007D34D7"/>
    <w:rsid w:val="007E1827"/>
    <w:rsid w:val="007F3764"/>
    <w:rsid w:val="007F3BDD"/>
    <w:rsid w:val="007F5A18"/>
    <w:rsid w:val="007F7E7D"/>
    <w:rsid w:val="00801AF8"/>
    <w:rsid w:val="008057D6"/>
    <w:rsid w:val="00805FE6"/>
    <w:rsid w:val="00807C26"/>
    <w:rsid w:val="0081631B"/>
    <w:rsid w:val="00817D6F"/>
    <w:rsid w:val="008210EF"/>
    <w:rsid w:val="00822503"/>
    <w:rsid w:val="00822DC4"/>
    <w:rsid w:val="00830211"/>
    <w:rsid w:val="00842156"/>
    <w:rsid w:val="00845732"/>
    <w:rsid w:val="00846F3F"/>
    <w:rsid w:val="0085235B"/>
    <w:rsid w:val="008539CC"/>
    <w:rsid w:val="008572D9"/>
    <w:rsid w:val="00857B1F"/>
    <w:rsid w:val="008617D5"/>
    <w:rsid w:val="00861E13"/>
    <w:rsid w:val="0087270D"/>
    <w:rsid w:val="00875F0D"/>
    <w:rsid w:val="00876D95"/>
    <w:rsid w:val="00880412"/>
    <w:rsid w:val="00883392"/>
    <w:rsid w:val="00883913"/>
    <w:rsid w:val="0089019B"/>
    <w:rsid w:val="00892496"/>
    <w:rsid w:val="00897C75"/>
    <w:rsid w:val="008A01B3"/>
    <w:rsid w:val="008A238C"/>
    <w:rsid w:val="008A6F22"/>
    <w:rsid w:val="008A7FDD"/>
    <w:rsid w:val="008B17B1"/>
    <w:rsid w:val="008B5D8F"/>
    <w:rsid w:val="008C19E4"/>
    <w:rsid w:val="008C7827"/>
    <w:rsid w:val="008D0497"/>
    <w:rsid w:val="008D1235"/>
    <w:rsid w:val="008D19BB"/>
    <w:rsid w:val="008F0DC0"/>
    <w:rsid w:val="008F4BAD"/>
    <w:rsid w:val="008F4E0B"/>
    <w:rsid w:val="008F5857"/>
    <w:rsid w:val="00907866"/>
    <w:rsid w:val="00907E9F"/>
    <w:rsid w:val="009149D4"/>
    <w:rsid w:val="00922CC7"/>
    <w:rsid w:val="009254DE"/>
    <w:rsid w:val="00936367"/>
    <w:rsid w:val="009401B2"/>
    <w:rsid w:val="00943BD0"/>
    <w:rsid w:val="009453E1"/>
    <w:rsid w:val="00954AFF"/>
    <w:rsid w:val="00954C0F"/>
    <w:rsid w:val="0095655B"/>
    <w:rsid w:val="009571D7"/>
    <w:rsid w:val="00964091"/>
    <w:rsid w:val="009726CD"/>
    <w:rsid w:val="0097431D"/>
    <w:rsid w:val="00981273"/>
    <w:rsid w:val="00981BE1"/>
    <w:rsid w:val="00991372"/>
    <w:rsid w:val="009944E2"/>
    <w:rsid w:val="009A1875"/>
    <w:rsid w:val="009A199C"/>
    <w:rsid w:val="009A1E0A"/>
    <w:rsid w:val="009B22EC"/>
    <w:rsid w:val="009C0F73"/>
    <w:rsid w:val="009C5027"/>
    <w:rsid w:val="009C6BBE"/>
    <w:rsid w:val="009C72A2"/>
    <w:rsid w:val="009D7383"/>
    <w:rsid w:val="009D7FA3"/>
    <w:rsid w:val="009E09CA"/>
    <w:rsid w:val="009E3BCF"/>
    <w:rsid w:val="009F0F2F"/>
    <w:rsid w:val="009F14B4"/>
    <w:rsid w:val="009F6CE7"/>
    <w:rsid w:val="00A032F1"/>
    <w:rsid w:val="00A0608E"/>
    <w:rsid w:val="00A07960"/>
    <w:rsid w:val="00A10D91"/>
    <w:rsid w:val="00A121DC"/>
    <w:rsid w:val="00A172B7"/>
    <w:rsid w:val="00A2655E"/>
    <w:rsid w:val="00A35B33"/>
    <w:rsid w:val="00A41250"/>
    <w:rsid w:val="00A41D4E"/>
    <w:rsid w:val="00A4301A"/>
    <w:rsid w:val="00A43861"/>
    <w:rsid w:val="00A43CB4"/>
    <w:rsid w:val="00A4413C"/>
    <w:rsid w:val="00A52A8F"/>
    <w:rsid w:val="00A604F3"/>
    <w:rsid w:val="00A62CE2"/>
    <w:rsid w:val="00A63844"/>
    <w:rsid w:val="00A640FF"/>
    <w:rsid w:val="00A747D6"/>
    <w:rsid w:val="00A80869"/>
    <w:rsid w:val="00A81143"/>
    <w:rsid w:val="00A83B38"/>
    <w:rsid w:val="00A83C24"/>
    <w:rsid w:val="00A9139E"/>
    <w:rsid w:val="00A9457A"/>
    <w:rsid w:val="00A9716E"/>
    <w:rsid w:val="00AA474A"/>
    <w:rsid w:val="00AA4B49"/>
    <w:rsid w:val="00AA6010"/>
    <w:rsid w:val="00AA7024"/>
    <w:rsid w:val="00AA7B2B"/>
    <w:rsid w:val="00AC0493"/>
    <w:rsid w:val="00AD6EC2"/>
    <w:rsid w:val="00AE4B57"/>
    <w:rsid w:val="00AE4C26"/>
    <w:rsid w:val="00AE7F24"/>
    <w:rsid w:val="00AF2204"/>
    <w:rsid w:val="00B012F3"/>
    <w:rsid w:val="00B04F98"/>
    <w:rsid w:val="00B1273F"/>
    <w:rsid w:val="00B141C7"/>
    <w:rsid w:val="00B172FD"/>
    <w:rsid w:val="00B2412B"/>
    <w:rsid w:val="00B36D62"/>
    <w:rsid w:val="00B371DF"/>
    <w:rsid w:val="00B4183F"/>
    <w:rsid w:val="00B42E02"/>
    <w:rsid w:val="00B50FBA"/>
    <w:rsid w:val="00B5287B"/>
    <w:rsid w:val="00B53493"/>
    <w:rsid w:val="00B54011"/>
    <w:rsid w:val="00B5477A"/>
    <w:rsid w:val="00B55D18"/>
    <w:rsid w:val="00B56CC8"/>
    <w:rsid w:val="00B62AC4"/>
    <w:rsid w:val="00B63A33"/>
    <w:rsid w:val="00B65281"/>
    <w:rsid w:val="00B657CC"/>
    <w:rsid w:val="00B65A0E"/>
    <w:rsid w:val="00B668FB"/>
    <w:rsid w:val="00B734D8"/>
    <w:rsid w:val="00B75CDB"/>
    <w:rsid w:val="00B76B8E"/>
    <w:rsid w:val="00B8347A"/>
    <w:rsid w:val="00B91B67"/>
    <w:rsid w:val="00B93677"/>
    <w:rsid w:val="00B952EE"/>
    <w:rsid w:val="00BA45AE"/>
    <w:rsid w:val="00BA4F4A"/>
    <w:rsid w:val="00BA66AD"/>
    <w:rsid w:val="00BB1C56"/>
    <w:rsid w:val="00BB49AA"/>
    <w:rsid w:val="00BB6906"/>
    <w:rsid w:val="00BC1D72"/>
    <w:rsid w:val="00BC2DD3"/>
    <w:rsid w:val="00BC54E0"/>
    <w:rsid w:val="00BC67B1"/>
    <w:rsid w:val="00BC78C3"/>
    <w:rsid w:val="00BD1A79"/>
    <w:rsid w:val="00BD2DA7"/>
    <w:rsid w:val="00BD67F2"/>
    <w:rsid w:val="00BD7AF8"/>
    <w:rsid w:val="00BD7CF3"/>
    <w:rsid w:val="00BE0CD2"/>
    <w:rsid w:val="00BE16D4"/>
    <w:rsid w:val="00BE2ACF"/>
    <w:rsid w:val="00BE3E41"/>
    <w:rsid w:val="00BE486A"/>
    <w:rsid w:val="00BF15C1"/>
    <w:rsid w:val="00BF2C53"/>
    <w:rsid w:val="00BF3CB0"/>
    <w:rsid w:val="00BF3F18"/>
    <w:rsid w:val="00BF5ACD"/>
    <w:rsid w:val="00C000C3"/>
    <w:rsid w:val="00C02E60"/>
    <w:rsid w:val="00C03FF6"/>
    <w:rsid w:val="00C04ABD"/>
    <w:rsid w:val="00C06253"/>
    <w:rsid w:val="00C10095"/>
    <w:rsid w:val="00C240FD"/>
    <w:rsid w:val="00C24374"/>
    <w:rsid w:val="00C302EF"/>
    <w:rsid w:val="00C319D5"/>
    <w:rsid w:val="00C36E7E"/>
    <w:rsid w:val="00C41FB6"/>
    <w:rsid w:val="00C46E86"/>
    <w:rsid w:val="00C538B1"/>
    <w:rsid w:val="00C56127"/>
    <w:rsid w:val="00C62CAD"/>
    <w:rsid w:val="00C631F6"/>
    <w:rsid w:val="00C70E21"/>
    <w:rsid w:val="00C74C53"/>
    <w:rsid w:val="00C77E1F"/>
    <w:rsid w:val="00C85DBE"/>
    <w:rsid w:val="00C94608"/>
    <w:rsid w:val="00C97431"/>
    <w:rsid w:val="00CA10B0"/>
    <w:rsid w:val="00CB259D"/>
    <w:rsid w:val="00CC1122"/>
    <w:rsid w:val="00CC3B00"/>
    <w:rsid w:val="00CC630F"/>
    <w:rsid w:val="00CC7D9F"/>
    <w:rsid w:val="00CD105D"/>
    <w:rsid w:val="00CD7CBE"/>
    <w:rsid w:val="00CE05F4"/>
    <w:rsid w:val="00CF21CD"/>
    <w:rsid w:val="00CF575D"/>
    <w:rsid w:val="00D05D78"/>
    <w:rsid w:val="00D075E5"/>
    <w:rsid w:val="00D102DF"/>
    <w:rsid w:val="00D14974"/>
    <w:rsid w:val="00D1531C"/>
    <w:rsid w:val="00D241D3"/>
    <w:rsid w:val="00D2464D"/>
    <w:rsid w:val="00D24EC3"/>
    <w:rsid w:val="00D253E1"/>
    <w:rsid w:val="00D27FA8"/>
    <w:rsid w:val="00D27FC4"/>
    <w:rsid w:val="00D365D3"/>
    <w:rsid w:val="00D41D74"/>
    <w:rsid w:val="00D42F7B"/>
    <w:rsid w:val="00D44172"/>
    <w:rsid w:val="00D45644"/>
    <w:rsid w:val="00D55089"/>
    <w:rsid w:val="00D5776B"/>
    <w:rsid w:val="00D615B4"/>
    <w:rsid w:val="00D61EE6"/>
    <w:rsid w:val="00D65684"/>
    <w:rsid w:val="00D65E0E"/>
    <w:rsid w:val="00D71C7F"/>
    <w:rsid w:val="00D7552A"/>
    <w:rsid w:val="00D81A78"/>
    <w:rsid w:val="00D83865"/>
    <w:rsid w:val="00D844BA"/>
    <w:rsid w:val="00D86F14"/>
    <w:rsid w:val="00DA0039"/>
    <w:rsid w:val="00DA5BA9"/>
    <w:rsid w:val="00DA743D"/>
    <w:rsid w:val="00DA76FA"/>
    <w:rsid w:val="00DB0464"/>
    <w:rsid w:val="00DB1FB1"/>
    <w:rsid w:val="00DB23A5"/>
    <w:rsid w:val="00DB2B49"/>
    <w:rsid w:val="00DC28FE"/>
    <w:rsid w:val="00DC290C"/>
    <w:rsid w:val="00DC33B4"/>
    <w:rsid w:val="00DD449E"/>
    <w:rsid w:val="00DD44F4"/>
    <w:rsid w:val="00DD4656"/>
    <w:rsid w:val="00DE0464"/>
    <w:rsid w:val="00DF01DF"/>
    <w:rsid w:val="00DF4A64"/>
    <w:rsid w:val="00DF5638"/>
    <w:rsid w:val="00E018FB"/>
    <w:rsid w:val="00E04889"/>
    <w:rsid w:val="00E06068"/>
    <w:rsid w:val="00E106B1"/>
    <w:rsid w:val="00E114F7"/>
    <w:rsid w:val="00E12C7D"/>
    <w:rsid w:val="00E135C8"/>
    <w:rsid w:val="00E13C9F"/>
    <w:rsid w:val="00E16338"/>
    <w:rsid w:val="00E17257"/>
    <w:rsid w:val="00E21DC0"/>
    <w:rsid w:val="00E24F10"/>
    <w:rsid w:val="00E31D8F"/>
    <w:rsid w:val="00E323B3"/>
    <w:rsid w:val="00E33E46"/>
    <w:rsid w:val="00E367B1"/>
    <w:rsid w:val="00E4248F"/>
    <w:rsid w:val="00E50F1E"/>
    <w:rsid w:val="00E51972"/>
    <w:rsid w:val="00E53DC2"/>
    <w:rsid w:val="00E54695"/>
    <w:rsid w:val="00E554B6"/>
    <w:rsid w:val="00E63885"/>
    <w:rsid w:val="00E6763B"/>
    <w:rsid w:val="00E8358B"/>
    <w:rsid w:val="00E85F87"/>
    <w:rsid w:val="00E86694"/>
    <w:rsid w:val="00E97431"/>
    <w:rsid w:val="00EA20CE"/>
    <w:rsid w:val="00EA651C"/>
    <w:rsid w:val="00EB20DE"/>
    <w:rsid w:val="00EB411C"/>
    <w:rsid w:val="00EB4E16"/>
    <w:rsid w:val="00EB534A"/>
    <w:rsid w:val="00EB58BD"/>
    <w:rsid w:val="00EB6D30"/>
    <w:rsid w:val="00EC0FFC"/>
    <w:rsid w:val="00EC3CE8"/>
    <w:rsid w:val="00ED2E33"/>
    <w:rsid w:val="00ED3024"/>
    <w:rsid w:val="00ED3E03"/>
    <w:rsid w:val="00ED54E8"/>
    <w:rsid w:val="00ED71B6"/>
    <w:rsid w:val="00EE2267"/>
    <w:rsid w:val="00EE5474"/>
    <w:rsid w:val="00EE6709"/>
    <w:rsid w:val="00EE77B2"/>
    <w:rsid w:val="00EF0E10"/>
    <w:rsid w:val="00EF2076"/>
    <w:rsid w:val="00EF2AFB"/>
    <w:rsid w:val="00EF7583"/>
    <w:rsid w:val="00EF789A"/>
    <w:rsid w:val="00F103A0"/>
    <w:rsid w:val="00F104E9"/>
    <w:rsid w:val="00F11115"/>
    <w:rsid w:val="00F119C7"/>
    <w:rsid w:val="00F2067F"/>
    <w:rsid w:val="00F33D5C"/>
    <w:rsid w:val="00F36746"/>
    <w:rsid w:val="00F431FB"/>
    <w:rsid w:val="00F46577"/>
    <w:rsid w:val="00F47BBA"/>
    <w:rsid w:val="00F5010F"/>
    <w:rsid w:val="00F5233D"/>
    <w:rsid w:val="00F53ACB"/>
    <w:rsid w:val="00F55DD6"/>
    <w:rsid w:val="00F60E46"/>
    <w:rsid w:val="00F6184E"/>
    <w:rsid w:val="00F6735D"/>
    <w:rsid w:val="00F70D6F"/>
    <w:rsid w:val="00F7208C"/>
    <w:rsid w:val="00F8007E"/>
    <w:rsid w:val="00F81C8A"/>
    <w:rsid w:val="00F823B0"/>
    <w:rsid w:val="00F82594"/>
    <w:rsid w:val="00F83A12"/>
    <w:rsid w:val="00F845A1"/>
    <w:rsid w:val="00F84805"/>
    <w:rsid w:val="00F85E41"/>
    <w:rsid w:val="00F871E1"/>
    <w:rsid w:val="00F910CB"/>
    <w:rsid w:val="00F978A9"/>
    <w:rsid w:val="00FA0A73"/>
    <w:rsid w:val="00FA2B02"/>
    <w:rsid w:val="00FA5FD8"/>
    <w:rsid w:val="00FB1115"/>
    <w:rsid w:val="00FB21C9"/>
    <w:rsid w:val="00FB4AE4"/>
    <w:rsid w:val="00FB5548"/>
    <w:rsid w:val="00FC037E"/>
    <w:rsid w:val="00FC0782"/>
    <w:rsid w:val="00FC27D4"/>
    <w:rsid w:val="00FD5739"/>
    <w:rsid w:val="00FD7A0B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739125"/>
  <w15:docId w15:val="{7BFFE6BB-09CA-491C-A744-5E4202D9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Strong" w:semiHidden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E02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073D1E"/>
    <w:pPr>
      <w:keepNext/>
      <w:keepLines/>
      <w:widowControl w:val="0"/>
      <w:tabs>
        <w:tab w:val="right" w:leader="dot" w:pos="8789"/>
      </w:tabs>
      <w:spacing w:before="240" w:after="120"/>
      <w:outlineLvl w:val="0"/>
    </w:pPr>
    <w:rPr>
      <w:rFonts w:asciiTheme="majorHAnsi" w:eastAsia="Times New Roman" w:hAnsiTheme="majorHAnsi" w:cs="Arial"/>
      <w:b/>
      <w:bCs/>
      <w:color w:val="000000" w:themeColor="text1"/>
      <w:kern w:val="32"/>
      <w:sz w:val="32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EB411C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B42E02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qFormat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073D1E"/>
    <w:rPr>
      <w:rFonts w:asciiTheme="majorHAnsi" w:eastAsia="Times New Roman" w:hAnsiTheme="majorHAnsi" w:cs="Arial"/>
      <w:b/>
      <w:bCs/>
      <w:color w:val="000000" w:themeColor="text1"/>
      <w:kern w:val="32"/>
      <w:sz w:val="32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EB411C"/>
    <w:rPr>
      <w:rFonts w:asciiTheme="majorHAnsi" w:eastAsia="Times New Roman" w:hAnsiTheme="majorHAnsi" w:cs="Arial"/>
      <w:b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B42E02"/>
    <w:rPr>
      <w:rFonts w:asciiTheme="majorHAnsi" w:eastAsia="Times New Roman" w:hAnsiTheme="majorHAnsi" w:cs="Times New Roman"/>
      <w:b/>
      <w:bCs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A9139E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B42E02"/>
    <w:pPr>
      <w:numPr>
        <w:numId w:val="14"/>
      </w:numPr>
    </w:pPr>
  </w:style>
  <w:style w:type="paragraph" w:customStyle="1" w:styleId="NbrHeading2">
    <w:name w:val="Nbr Heading 2"/>
    <w:basedOn w:val="Heading2"/>
    <w:qFormat/>
    <w:rsid w:val="00B42E02"/>
    <w:pPr>
      <w:numPr>
        <w:ilvl w:val="1"/>
        <w:numId w:val="14"/>
      </w:numPr>
    </w:pPr>
  </w:style>
  <w:style w:type="paragraph" w:customStyle="1" w:styleId="NbrHeading3">
    <w:name w:val="Nbr Heading 3"/>
    <w:basedOn w:val="Heading3"/>
    <w:qFormat/>
    <w:rsid w:val="00B42E02"/>
    <w:pPr>
      <w:numPr>
        <w:ilvl w:val="2"/>
        <w:numId w:val="14"/>
      </w:numPr>
    </w:pPr>
  </w:style>
  <w:style w:type="paragraph" w:customStyle="1" w:styleId="NbrHeading4">
    <w:name w:val="Nbr Heading 4"/>
    <w:basedOn w:val="Heading4"/>
    <w:next w:val="BodyText"/>
    <w:semiHidden/>
    <w:qFormat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991372"/>
    <w:pPr>
      <w:numPr>
        <w:ilvl w:val="1"/>
      </w:numPr>
      <w:spacing w:before="280" w:after="280"/>
    </w:pPr>
    <w:rPr>
      <w:rFonts w:asciiTheme="majorHAnsi" w:eastAsiaTheme="majorEastAsia" w:hAnsiTheme="majorHAnsi" w:cstheme="majorBidi"/>
      <w:iCs/>
      <w:color w:val="004B8D" w:themeColor="accent1"/>
      <w:sz w:val="4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991372"/>
    <w:rPr>
      <w:rFonts w:asciiTheme="majorHAnsi" w:eastAsiaTheme="majorEastAsia" w:hAnsiTheme="majorHAnsi" w:cstheme="majorBidi"/>
      <w:iCs/>
      <w:color w:val="004B8D" w:themeColor="accent1"/>
      <w:sz w:val="4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D15BB"/>
    <w:rPr>
      <w:sz w:val="17"/>
    </w:rPr>
  </w:style>
  <w:style w:type="paragraph" w:styleId="Footer">
    <w:name w:val="footer"/>
    <w:basedOn w:val="Normal"/>
    <w:link w:val="FooterChar"/>
    <w:uiPriority w:val="99"/>
    <w:rsid w:val="00FC27D4"/>
    <w:pPr>
      <w:tabs>
        <w:tab w:val="left" w:pos="567"/>
        <w:tab w:val="right" w:pos="9639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FC27D4"/>
    <w:rPr>
      <w:noProof/>
      <w:sz w:val="24"/>
    </w:rPr>
  </w:style>
  <w:style w:type="paragraph" w:styleId="ListNumber0">
    <w:name w:val="List Number"/>
    <w:basedOn w:val="Normal"/>
    <w:uiPriority w:val="1"/>
    <w:qFormat/>
    <w:rsid w:val="00CA10B0"/>
    <w:p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875F0D"/>
    <w:pPr>
      <w:numPr>
        <w:numId w:val="11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qFormat/>
    <w:rsid w:val="0061089F"/>
  </w:style>
  <w:style w:type="character" w:styleId="Hyperlink">
    <w:name w:val="Hyperlink"/>
    <w:basedOn w:val="DefaultParagraphFont"/>
    <w:uiPriority w:val="99"/>
    <w:rsid w:val="00E17257"/>
    <w:rPr>
      <w:color w:val="004B8D" w:themeColor="accent1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3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CA10B0"/>
    <w:pPr>
      <w:spacing w:before="60" w:after="60"/>
    </w:pPr>
    <w:rPr>
      <w:b/>
      <w:color w:val="FFFFFF" w:themeColor="background1"/>
    </w:rPr>
  </w:style>
  <w:style w:type="paragraph" w:customStyle="1" w:styleId="TableBody">
    <w:name w:val="Table Body"/>
    <w:basedOn w:val="Normal"/>
    <w:uiPriority w:val="3"/>
    <w:qFormat/>
    <w:rsid w:val="006C3975"/>
    <w:pPr>
      <w:spacing w:before="60" w:after="60"/>
    </w:pPr>
  </w:style>
  <w:style w:type="paragraph" w:customStyle="1" w:styleId="TableBullet">
    <w:name w:val="Table Bullet"/>
    <w:basedOn w:val="Normal"/>
    <w:uiPriority w:val="4"/>
    <w:qFormat/>
    <w:rsid w:val="00875F0D"/>
    <w:pPr>
      <w:numPr>
        <w:numId w:val="13"/>
      </w:numPr>
      <w:spacing w:before="60" w:after="60"/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0"/>
      </w:numPr>
    </w:pPr>
  </w:style>
  <w:style w:type="character" w:customStyle="1" w:styleId="Heading5Char">
    <w:name w:val="Heading 5 Char"/>
    <w:basedOn w:val="DefaultParagraphFont"/>
    <w:link w:val="Heading5"/>
    <w:semiHidden/>
    <w:rsid w:val="00A9139E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D15BB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aliases w:val="NFP GP Bulleted List,List Paragraph1,List Paragraph11,L,Bullet point,List Paragraph111,F5 List Paragraph,Dot pt,CV text,Table text,Medium Grid 1 - Accent 21,Numbered Paragraph,List Paragraph2,FooterText,numbered,列出段,0Bullet"/>
    <w:basedOn w:val="ListBullet0"/>
    <w:link w:val="ListParagraphChar"/>
    <w:uiPriority w:val="34"/>
    <w:qFormat/>
    <w:rsid w:val="003A08A5"/>
    <w:pPr>
      <w:numPr>
        <w:numId w:val="0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qFormat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F5010F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CA10B0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CA10B0"/>
    <w:pPr>
      <w:numPr>
        <w:numId w:val="7"/>
      </w:numPr>
    </w:pPr>
  </w:style>
  <w:style w:type="numbering" w:customStyle="1" w:styleId="ListAlpha">
    <w:name w:val="List_Alpha"/>
    <w:uiPriority w:val="99"/>
    <w:rsid w:val="00CA10B0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140E8B"/>
    <w:pPr>
      <w:tabs>
        <w:tab w:val="left" w:pos="1134"/>
        <w:tab w:val="left" w:pos="1559"/>
      </w:tabs>
      <w:spacing w:after="120" w:line="264" w:lineRule="auto"/>
    </w:pPr>
    <w:rPr>
      <w:noProof/>
      <w:sz w:val="24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CA10B0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CA10B0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CA10B0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CA10B0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CA10B0"/>
    <w:pPr>
      <w:numPr>
        <w:ilvl w:val="4"/>
        <w:numId w:val="9"/>
      </w:numPr>
    </w:pPr>
  </w:style>
  <w:style w:type="paragraph" w:styleId="ListBullet2">
    <w:name w:val="List Bullet 2"/>
    <w:basedOn w:val="ListBullet0"/>
    <w:uiPriority w:val="19"/>
    <w:rsid w:val="00875F0D"/>
    <w:pPr>
      <w:numPr>
        <w:ilvl w:val="1"/>
      </w:numPr>
      <w:spacing w:after="120"/>
    </w:pPr>
  </w:style>
  <w:style w:type="paragraph" w:styleId="ListBullet3">
    <w:name w:val="List Bullet 3"/>
    <w:basedOn w:val="ListBullet0"/>
    <w:uiPriority w:val="19"/>
    <w:rsid w:val="00875F0D"/>
    <w:pPr>
      <w:numPr>
        <w:ilvl w:val="2"/>
      </w:numPr>
      <w:spacing w:after="120"/>
    </w:pPr>
  </w:style>
  <w:style w:type="paragraph" w:styleId="ListBullet4">
    <w:name w:val="List Bullet 4"/>
    <w:basedOn w:val="ListBullet0"/>
    <w:uiPriority w:val="19"/>
    <w:rsid w:val="00875F0D"/>
    <w:pPr>
      <w:numPr>
        <w:ilvl w:val="3"/>
      </w:numPr>
      <w:spacing w:after="120"/>
    </w:pPr>
  </w:style>
  <w:style w:type="paragraph" w:styleId="ListBullet5">
    <w:name w:val="List Bullet 5"/>
    <w:basedOn w:val="ListBullet0"/>
    <w:uiPriority w:val="19"/>
    <w:rsid w:val="00875F0D"/>
    <w:pPr>
      <w:numPr>
        <w:ilvl w:val="4"/>
      </w:numPr>
      <w:spacing w:after="120"/>
    </w:pPr>
  </w:style>
  <w:style w:type="paragraph" w:customStyle="1" w:styleId="ListBullet6">
    <w:name w:val="List Bullet 6"/>
    <w:basedOn w:val="ListBullet0"/>
    <w:uiPriority w:val="19"/>
    <w:rsid w:val="00875F0D"/>
    <w:pPr>
      <w:numPr>
        <w:ilvl w:val="5"/>
      </w:numPr>
      <w:spacing w:after="120"/>
    </w:pPr>
  </w:style>
  <w:style w:type="paragraph" w:styleId="ListNumber2">
    <w:name w:val="List Number 2"/>
    <w:basedOn w:val="ListNumber0"/>
    <w:uiPriority w:val="19"/>
    <w:rsid w:val="002E62B5"/>
    <w:pPr>
      <w:numPr>
        <w:ilvl w:val="1"/>
      </w:numPr>
      <w:spacing w:after="120"/>
    </w:pPr>
  </w:style>
  <w:style w:type="paragraph" w:styleId="ListNumber3">
    <w:name w:val="List Number 3"/>
    <w:basedOn w:val="ListNumber0"/>
    <w:uiPriority w:val="19"/>
    <w:rsid w:val="002E62B5"/>
    <w:pPr>
      <w:numPr>
        <w:ilvl w:val="2"/>
      </w:numPr>
      <w:spacing w:after="120"/>
      <w:ind w:left="1276"/>
    </w:pPr>
  </w:style>
  <w:style w:type="paragraph" w:styleId="ListNumber4">
    <w:name w:val="List Number 4"/>
    <w:basedOn w:val="ListNumber0"/>
    <w:uiPriority w:val="19"/>
    <w:rsid w:val="002E62B5"/>
    <w:pPr>
      <w:numPr>
        <w:ilvl w:val="3"/>
      </w:numPr>
      <w:spacing w:after="120"/>
      <w:ind w:left="1701"/>
    </w:pPr>
  </w:style>
  <w:style w:type="paragraph" w:styleId="ListNumber5">
    <w:name w:val="List Number 5"/>
    <w:basedOn w:val="ListNumber0"/>
    <w:uiPriority w:val="19"/>
    <w:rsid w:val="002E62B5"/>
    <w:pPr>
      <w:numPr>
        <w:ilvl w:val="4"/>
      </w:numPr>
      <w:spacing w:after="120"/>
      <w:ind w:left="2126"/>
    </w:pPr>
  </w:style>
  <w:style w:type="paragraph" w:customStyle="1" w:styleId="ListNumber6">
    <w:name w:val="List Number 6"/>
    <w:basedOn w:val="ListNumber0"/>
    <w:uiPriority w:val="19"/>
    <w:rsid w:val="002E62B5"/>
    <w:pPr>
      <w:numPr>
        <w:ilvl w:val="5"/>
      </w:numPr>
      <w:spacing w:after="120"/>
      <w:ind w:left="2551"/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875F0D"/>
    <w:pPr>
      <w:numPr>
        <w:numId w:val="11"/>
      </w:numPr>
    </w:pPr>
  </w:style>
  <w:style w:type="numbering" w:customStyle="1" w:styleId="ListNumberedHeadings">
    <w:name w:val="List_NumberedHeadings"/>
    <w:uiPriority w:val="99"/>
    <w:rsid w:val="00B42E02"/>
    <w:pPr>
      <w:numPr>
        <w:numId w:val="4"/>
      </w:numPr>
    </w:pPr>
  </w:style>
  <w:style w:type="numbering" w:customStyle="1" w:styleId="ListTableBullet">
    <w:name w:val="List_TableBullet"/>
    <w:uiPriority w:val="99"/>
    <w:rsid w:val="00875F0D"/>
    <w:pPr>
      <w:numPr>
        <w:numId w:val="12"/>
      </w:numPr>
    </w:pPr>
  </w:style>
  <w:style w:type="numbering" w:customStyle="1" w:styleId="ListTableNumber">
    <w:name w:val="List_TableNumber"/>
    <w:uiPriority w:val="99"/>
    <w:rsid w:val="003A08A5"/>
    <w:pPr>
      <w:numPr>
        <w:numId w:val="6"/>
      </w:numPr>
    </w:pPr>
  </w:style>
  <w:style w:type="paragraph" w:customStyle="1" w:styleId="TableBullet2">
    <w:name w:val="Table Bullet 2"/>
    <w:basedOn w:val="TableBullet"/>
    <w:uiPriority w:val="19"/>
    <w:rsid w:val="00875F0D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6C3975"/>
    <w:rPr>
      <w:b w:val="0"/>
      <w:i/>
    </w:rPr>
  </w:style>
  <w:style w:type="table" w:customStyle="1" w:styleId="V2020Table">
    <w:name w:val="V2020 Table"/>
    <w:basedOn w:val="TableNormal"/>
    <w:uiPriority w:val="99"/>
    <w:rsid w:val="00E17257"/>
    <w:pPr>
      <w:spacing w:before="0"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cPr>
      <w:shd w:val="clear" w:color="auto" w:fill="auto"/>
    </w:tcPr>
    <w:tblStylePr w:type="firstRow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rPr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004B8D" w:themeFill="accent1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D44172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eastAsia="Times New Roman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D44172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eastAsia="Times New Roman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D44172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D44172"/>
    <w:rPr>
      <w:lang w:eastAsia="en-AU"/>
    </w:rPr>
  </w:style>
  <w:style w:type="table" w:styleId="TableGridLight">
    <w:name w:val="Grid Table Light"/>
    <w:basedOn w:val="TableNormal"/>
    <w:uiPriority w:val="40"/>
    <w:rsid w:val="003C20B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C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C9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07E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7E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7E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7E9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04F9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65A0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5A0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65A0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CC1122"/>
    <w:rPr>
      <w:i/>
      <w:iCs/>
    </w:rPr>
  </w:style>
  <w:style w:type="character" w:customStyle="1" w:styleId="ListParagraphChar">
    <w:name w:val="List Paragraph Char"/>
    <w:aliases w:val="NFP GP Bulleted List Char,List Paragraph1 Char,List Paragraph11 Char,L Char,Bullet point Char,List Paragraph111 Char,F5 List Paragraph Char,Dot pt Char,CV text Char,Table text Char,Medium Grid 1 - Accent 21 Char,List Paragraph2 Char"/>
    <w:basedOn w:val="DefaultParagraphFont"/>
    <w:link w:val="ListParagraph0"/>
    <w:uiPriority w:val="34"/>
    <w:qFormat/>
    <w:locked/>
    <w:rsid w:val="0009173E"/>
    <w:rPr>
      <w:rFonts w:eastAsia="Times New Roman" w:cs="Times New Roman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ealth.gov.au/sites/default/files/documents/2021/05/five-pillars-over-5-years.pdf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health.gov.au/resources/publications/australian-government-response-to-the-final-report-of-the-royal-commission-into-aged-care-quality-and-safety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vision2020australia.org.au/resources/submission-to-the-royal-commission-into-aged-care-quality-and-safet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bbott\Documents\Office%20Templates\Report%2020%20yrs.dotx" TargetMode="Externa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Submission to the Royal Commission into Violence, Abuse, Neglect and Exploitation of People with Disability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53A48D7723EC43AF94F17466661D5B" ma:contentTypeVersion="12" ma:contentTypeDescription="Create a new document." ma:contentTypeScope="" ma:versionID="40da662e933e60405e4d875ebe20cfcd">
  <xsd:schema xmlns:xsd="http://www.w3.org/2001/XMLSchema" xmlns:xs="http://www.w3.org/2001/XMLSchema" xmlns:p="http://schemas.microsoft.com/office/2006/metadata/properties" xmlns:ns3="e2291593-487e-456f-b1f3-c6d0076a4f52" xmlns:ns4="bf1568da-3a53-4ed8-a5b3-a8e7814d83f7" targetNamespace="http://schemas.microsoft.com/office/2006/metadata/properties" ma:root="true" ma:fieldsID="0d8f31b8c9dbff8b4b92d10321abd869" ns3:_="" ns4:_="">
    <xsd:import namespace="e2291593-487e-456f-b1f3-c6d0076a4f52"/>
    <xsd:import namespace="bf1568da-3a53-4ed8-a5b3-a8e7814d83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91593-487e-456f-b1f3-c6d0076a4f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568da-3a53-4ed8-a5b3-a8e7814d8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EB4D3D-B641-429B-8B8C-EF5F18422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91593-487e-456f-b1f3-c6d0076a4f52"/>
    <ds:schemaRef ds:uri="bf1568da-3a53-4ed8-a5b3-a8e7814d8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643861-8C97-4E8A-8580-B62D4D9864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6A5A3C-2937-46E4-BBF6-A3B58C0B1A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63C0FE-FA63-46EC-8173-F248567516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20 yrs.dotx</Template>
  <TotalTime>18</TotalTime>
  <Pages>5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to the Key Takeaways from the Aged Care Royal Commission Final Report</vt:lpstr>
    </vt:vector>
  </TitlesOfParts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Aged Care Reforms and the Eye Sector - A High-Level Overview</dc:title>
  <dc:subject>Prepared by Vision 2020 Australia</dc:subject>
  <dc:creator>Roman Serebrianik</dc:creator>
  <cp:keywords/>
  <dc:description/>
  <cp:lastModifiedBy>Jonathan Craig</cp:lastModifiedBy>
  <cp:revision>5</cp:revision>
  <cp:lastPrinted>2021-05-19T05:24:00Z</cp:lastPrinted>
  <dcterms:created xsi:type="dcterms:W3CDTF">2021-05-19T05:09:00Z</dcterms:created>
  <dcterms:modified xsi:type="dcterms:W3CDTF">2021-05-19T05:25:00Z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0x0101008D53A48D7723EC43AF94F17466661D5B</vt:lpwstr>
  </property>
</Properties>
</file>