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876A5" w14:textId="77777777" w:rsidR="00EA4392" w:rsidRDefault="00EA4392" w:rsidP="00EA4392">
      <w:pPr>
        <w:spacing w:before="120" w:after="120" w:line="264" w:lineRule="auto"/>
        <w:rPr>
          <w:rFonts w:eastAsia="Times New Roman" w:cs="Times New Roman"/>
          <w:b/>
          <w:bCs/>
          <w:color w:val="43568B" w:themeColor="accent5" w:themeShade="80"/>
          <w:sz w:val="36"/>
          <w:szCs w:val="36"/>
          <w:lang w:eastAsia="en-AU"/>
        </w:rPr>
      </w:pPr>
      <w:bookmarkStart w:id="0" w:name="_GoBack"/>
      <w:bookmarkEnd w:id="0"/>
    </w:p>
    <w:p w14:paraId="05C9F66D" w14:textId="77777777" w:rsidR="00EA4392" w:rsidRDefault="00EA4392" w:rsidP="00EA4392">
      <w:pPr>
        <w:spacing w:before="120" w:after="120" w:line="264" w:lineRule="auto"/>
        <w:rPr>
          <w:rFonts w:eastAsia="Times New Roman" w:cs="Times New Roman"/>
          <w:b/>
          <w:bCs/>
          <w:color w:val="43568B" w:themeColor="accent5" w:themeShade="80"/>
          <w:sz w:val="36"/>
          <w:szCs w:val="36"/>
          <w:lang w:eastAsia="en-AU"/>
        </w:rPr>
      </w:pPr>
    </w:p>
    <w:p w14:paraId="7580C5CB" w14:textId="77777777" w:rsidR="00EA4392" w:rsidRDefault="00EA4392" w:rsidP="00EA4392">
      <w:pPr>
        <w:spacing w:before="120" w:after="120" w:line="264" w:lineRule="auto"/>
        <w:rPr>
          <w:rFonts w:eastAsia="Times New Roman" w:cs="Times New Roman"/>
          <w:b/>
          <w:bCs/>
          <w:color w:val="43568B" w:themeColor="accent5" w:themeShade="80"/>
          <w:sz w:val="36"/>
          <w:szCs w:val="36"/>
          <w:lang w:eastAsia="en-AU"/>
        </w:rPr>
      </w:pPr>
    </w:p>
    <w:p w14:paraId="39B84FC9" w14:textId="77777777" w:rsidR="00EA4392" w:rsidRDefault="00EA4392" w:rsidP="00EA4392">
      <w:pPr>
        <w:spacing w:before="120" w:after="120" w:line="264" w:lineRule="auto"/>
        <w:rPr>
          <w:rFonts w:eastAsia="Times New Roman" w:cs="Times New Roman"/>
          <w:b/>
          <w:bCs/>
          <w:color w:val="43568B" w:themeColor="accent5" w:themeShade="80"/>
          <w:sz w:val="36"/>
          <w:szCs w:val="36"/>
          <w:lang w:eastAsia="en-AU"/>
        </w:rPr>
      </w:pPr>
    </w:p>
    <w:p w14:paraId="2D6CA213" w14:textId="77777777" w:rsidR="00EA4392" w:rsidRDefault="00EA4392" w:rsidP="00EA4392">
      <w:pPr>
        <w:spacing w:before="120" w:after="120" w:line="264" w:lineRule="auto"/>
        <w:rPr>
          <w:rFonts w:eastAsia="Times New Roman" w:cs="Times New Roman"/>
          <w:b/>
          <w:bCs/>
          <w:color w:val="43568B" w:themeColor="accent5" w:themeShade="80"/>
          <w:sz w:val="36"/>
          <w:szCs w:val="36"/>
          <w:lang w:eastAsia="en-AU"/>
        </w:rPr>
      </w:pPr>
    </w:p>
    <w:p w14:paraId="239FE3A1" w14:textId="6ED99D18" w:rsidR="00EA4392" w:rsidRPr="00EA4392" w:rsidRDefault="00EA4392" w:rsidP="00EA4392">
      <w:pPr>
        <w:pStyle w:val="BodyText"/>
        <w:rPr>
          <w:b/>
          <w:bCs/>
          <w:color w:val="000000" w:themeColor="text1"/>
          <w:sz w:val="52"/>
          <w:szCs w:val="52"/>
        </w:rPr>
      </w:pPr>
      <w:r w:rsidRPr="00EA4392">
        <w:rPr>
          <w:b/>
          <w:bCs/>
          <w:color w:val="000000" w:themeColor="text1"/>
          <w:sz w:val="52"/>
          <w:szCs w:val="52"/>
        </w:rPr>
        <w:t xml:space="preserve">Embedding </w:t>
      </w:r>
      <w:r w:rsidRPr="00EA4392">
        <w:rPr>
          <w:b/>
          <w:bCs/>
          <w:color w:val="000000" w:themeColor="text1"/>
          <w:sz w:val="52"/>
          <w:szCs w:val="52"/>
        </w:rPr>
        <w:t>vision</w:t>
      </w:r>
      <w:r w:rsidRPr="00EA4392">
        <w:rPr>
          <w:b/>
          <w:bCs/>
          <w:color w:val="000000" w:themeColor="text1"/>
          <w:sz w:val="52"/>
          <w:szCs w:val="52"/>
        </w:rPr>
        <w:t xml:space="preserve"> in primary care</w:t>
      </w:r>
      <w:r w:rsidRPr="00EA4392">
        <w:rPr>
          <w:b/>
          <w:bCs/>
          <w:color w:val="000000" w:themeColor="text1"/>
          <w:sz w:val="52"/>
          <w:szCs w:val="52"/>
        </w:rPr>
        <w:t xml:space="preserve"> </w:t>
      </w:r>
    </w:p>
    <w:p w14:paraId="2EDA95F4" w14:textId="563314EA" w:rsidR="00EA4392" w:rsidRPr="00BE6FD0" w:rsidRDefault="00EA4392" w:rsidP="00EA4392">
      <w:pPr>
        <w:pStyle w:val="BodyText"/>
        <w:rPr>
          <w:color w:val="32619D" w:themeColor="accent3"/>
          <w:sz w:val="52"/>
          <w:szCs w:val="52"/>
        </w:rPr>
      </w:pPr>
      <w:r w:rsidRPr="00BE6FD0">
        <w:rPr>
          <w:color w:val="32619D" w:themeColor="accent3"/>
          <w:sz w:val="52"/>
          <w:szCs w:val="52"/>
        </w:rPr>
        <w:t>Submission to Department of Health requesting amendments to MBS chronic health check descriptors</w:t>
      </w:r>
    </w:p>
    <w:p w14:paraId="50938D7A" w14:textId="47A7601B" w:rsidR="00EA4392" w:rsidRDefault="00EA4392" w:rsidP="00EA4392">
      <w:pPr>
        <w:spacing w:before="120" w:after="120" w:line="264" w:lineRule="auto"/>
        <w:rPr>
          <w:rFonts w:eastAsia="Times New Roman" w:cs="Times New Roman"/>
          <w:b/>
          <w:bCs/>
          <w:color w:val="43568B" w:themeColor="accent5" w:themeShade="80"/>
          <w:sz w:val="36"/>
          <w:szCs w:val="36"/>
          <w:lang w:eastAsia="en-AU"/>
        </w:rPr>
      </w:pPr>
    </w:p>
    <w:p w14:paraId="7B1EBD07" w14:textId="20129B7D" w:rsidR="00EA4392" w:rsidRPr="00EA4392" w:rsidRDefault="00EA4392" w:rsidP="00EA4392">
      <w:pPr>
        <w:spacing w:before="120" w:after="120" w:line="264" w:lineRule="auto"/>
        <w:rPr>
          <w:rFonts w:eastAsia="Times New Roman" w:cs="Times New Roman"/>
          <w:b/>
          <w:bCs/>
          <w:sz w:val="36"/>
          <w:szCs w:val="36"/>
          <w:lang w:eastAsia="en-AU"/>
        </w:rPr>
      </w:pPr>
      <w:r w:rsidRPr="00EA4392">
        <w:rPr>
          <w:rFonts w:eastAsia="Times New Roman" w:cs="Times New Roman"/>
          <w:b/>
          <w:bCs/>
          <w:sz w:val="36"/>
          <w:szCs w:val="36"/>
          <w:lang w:eastAsia="en-AU"/>
        </w:rPr>
        <w:t>August 2021</w:t>
      </w:r>
    </w:p>
    <w:p w14:paraId="47237D5A" w14:textId="77777777" w:rsidR="00EA4392" w:rsidRDefault="00EA4392" w:rsidP="00EA4392">
      <w:pPr>
        <w:keepNext/>
        <w:keepLines/>
        <w:spacing w:before="240" w:after="120"/>
        <w:outlineLvl w:val="2"/>
        <w:rPr>
          <w:rFonts w:asciiTheme="majorHAnsi" w:eastAsia="Times New Roman" w:hAnsiTheme="majorHAnsi" w:cs="Times New Roman"/>
          <w:b/>
          <w:bCs/>
          <w:sz w:val="22"/>
          <w:szCs w:val="24"/>
          <w:lang w:eastAsia="en-AU"/>
        </w:rPr>
      </w:pPr>
      <w:r>
        <w:rPr>
          <w:rFonts w:asciiTheme="majorHAnsi" w:eastAsia="Times New Roman" w:hAnsiTheme="majorHAnsi" w:cs="Times New Roman"/>
          <w:b/>
          <w:bCs/>
          <w:sz w:val="22"/>
          <w:szCs w:val="24"/>
          <w:lang w:eastAsia="en-AU"/>
        </w:rPr>
        <w:br w:type="page"/>
      </w:r>
    </w:p>
    <w:p w14:paraId="49918821" w14:textId="63799EB8" w:rsidR="00D066DA" w:rsidRDefault="00D066DA" w:rsidP="00BE6FD0">
      <w:pPr>
        <w:pStyle w:val="Heading1"/>
      </w:pPr>
    </w:p>
    <w:p w14:paraId="4BCAD96D" w14:textId="3DBB0E3B" w:rsidR="00D066DA" w:rsidRPr="00D066DA" w:rsidRDefault="00D066DA" w:rsidP="00D066DA">
      <w:pPr>
        <w:pStyle w:val="BodyText"/>
        <w:rPr>
          <w:b/>
          <w:bCs/>
          <w:color w:val="32619D" w:themeColor="accent3"/>
          <w:sz w:val="32"/>
          <w:szCs w:val="32"/>
        </w:rPr>
      </w:pPr>
      <w:r w:rsidRPr="00D066DA">
        <w:rPr>
          <w:b/>
          <w:bCs/>
          <w:color w:val="32619D" w:themeColor="accent3"/>
          <w:sz w:val="32"/>
          <w:szCs w:val="32"/>
        </w:rPr>
        <w:t>Contents</w:t>
      </w:r>
    </w:p>
    <w:p w14:paraId="75F1656F" w14:textId="48CD4344" w:rsidR="00D066DA" w:rsidRDefault="00D066DA" w:rsidP="00D066DA">
      <w:pPr>
        <w:pStyle w:val="BodyText"/>
      </w:pPr>
    </w:p>
    <w:p w14:paraId="059A6FEF" w14:textId="77777777" w:rsidR="00D066DA" w:rsidRPr="00D066DA" w:rsidRDefault="00D066DA" w:rsidP="00D066DA">
      <w:pPr>
        <w:pStyle w:val="BodyText"/>
      </w:pPr>
    </w:p>
    <w:p w14:paraId="735D8150" w14:textId="581E1440" w:rsidR="00D066DA" w:rsidRDefault="00D066DA">
      <w:pPr>
        <w:pStyle w:val="TOC1"/>
        <w:rPr>
          <w:rFonts w:eastAsiaTheme="minorEastAsia"/>
          <w:b w:val="0"/>
          <w:sz w:val="22"/>
          <w:lang w:eastAsia="en-AU"/>
        </w:rPr>
      </w:pPr>
      <w:r>
        <w:fldChar w:fldCharType="begin"/>
      </w:r>
      <w:r>
        <w:instrText xml:space="preserve"> TOC \h \z \t "Heading 1,1,Heading 2,2,TOC Heading,1" </w:instrText>
      </w:r>
      <w:r>
        <w:fldChar w:fldCharType="separate"/>
      </w:r>
      <w:hyperlink w:anchor="_Toc81403413" w:history="1">
        <w:r w:rsidRPr="002C1A8C">
          <w:rPr>
            <w:rStyle w:val="Hyperlink"/>
          </w:rPr>
          <w:t>About Vision 2020 Australia</w:t>
        </w:r>
        <w:r>
          <w:rPr>
            <w:webHidden/>
          </w:rPr>
          <w:tab/>
        </w:r>
        <w:r>
          <w:rPr>
            <w:webHidden/>
          </w:rPr>
          <w:fldChar w:fldCharType="begin"/>
        </w:r>
        <w:r>
          <w:rPr>
            <w:webHidden/>
          </w:rPr>
          <w:instrText xml:space="preserve"> PAGEREF _Toc81403413 \h </w:instrText>
        </w:r>
        <w:r>
          <w:rPr>
            <w:webHidden/>
          </w:rPr>
        </w:r>
        <w:r>
          <w:rPr>
            <w:webHidden/>
          </w:rPr>
          <w:fldChar w:fldCharType="separate"/>
        </w:r>
        <w:r w:rsidR="00E34C68">
          <w:rPr>
            <w:webHidden/>
          </w:rPr>
          <w:t>3</w:t>
        </w:r>
        <w:r>
          <w:rPr>
            <w:webHidden/>
          </w:rPr>
          <w:fldChar w:fldCharType="end"/>
        </w:r>
      </w:hyperlink>
    </w:p>
    <w:p w14:paraId="6536DB76" w14:textId="157D6D5B" w:rsidR="00D066DA" w:rsidRDefault="00D066DA">
      <w:pPr>
        <w:pStyle w:val="TOC1"/>
        <w:rPr>
          <w:rFonts w:eastAsiaTheme="minorEastAsia"/>
          <w:b w:val="0"/>
          <w:sz w:val="22"/>
          <w:lang w:eastAsia="en-AU"/>
        </w:rPr>
      </w:pPr>
      <w:hyperlink w:anchor="_Toc81403414" w:history="1">
        <w:r w:rsidRPr="002C1A8C">
          <w:rPr>
            <w:rStyle w:val="Hyperlink"/>
          </w:rPr>
          <w:t>Summary</w:t>
        </w:r>
        <w:r>
          <w:rPr>
            <w:webHidden/>
          </w:rPr>
          <w:tab/>
        </w:r>
        <w:r>
          <w:rPr>
            <w:webHidden/>
          </w:rPr>
          <w:fldChar w:fldCharType="begin"/>
        </w:r>
        <w:r>
          <w:rPr>
            <w:webHidden/>
          </w:rPr>
          <w:instrText xml:space="preserve"> PAGEREF _Toc81403414 \h </w:instrText>
        </w:r>
        <w:r>
          <w:rPr>
            <w:webHidden/>
          </w:rPr>
        </w:r>
        <w:r>
          <w:rPr>
            <w:webHidden/>
          </w:rPr>
          <w:fldChar w:fldCharType="separate"/>
        </w:r>
        <w:r w:rsidR="00E34C68">
          <w:rPr>
            <w:webHidden/>
          </w:rPr>
          <w:t>4</w:t>
        </w:r>
        <w:r>
          <w:rPr>
            <w:webHidden/>
          </w:rPr>
          <w:fldChar w:fldCharType="end"/>
        </w:r>
      </w:hyperlink>
    </w:p>
    <w:p w14:paraId="048E3262" w14:textId="275918BB" w:rsidR="00D066DA" w:rsidRDefault="00D066DA">
      <w:pPr>
        <w:pStyle w:val="TOC1"/>
        <w:rPr>
          <w:rFonts w:eastAsiaTheme="minorEastAsia"/>
          <w:b w:val="0"/>
          <w:sz w:val="22"/>
          <w:lang w:eastAsia="en-AU"/>
        </w:rPr>
      </w:pPr>
      <w:hyperlink w:anchor="_Toc81403415" w:history="1">
        <w:r w:rsidRPr="002C1A8C">
          <w:rPr>
            <w:rStyle w:val="Hyperlink"/>
          </w:rPr>
          <w:t>The Case for Change</w:t>
        </w:r>
        <w:r>
          <w:rPr>
            <w:webHidden/>
          </w:rPr>
          <w:tab/>
        </w:r>
        <w:r>
          <w:rPr>
            <w:webHidden/>
          </w:rPr>
          <w:fldChar w:fldCharType="begin"/>
        </w:r>
        <w:r>
          <w:rPr>
            <w:webHidden/>
          </w:rPr>
          <w:instrText xml:space="preserve"> PAGEREF _Toc81403415 \h </w:instrText>
        </w:r>
        <w:r>
          <w:rPr>
            <w:webHidden/>
          </w:rPr>
        </w:r>
        <w:r>
          <w:rPr>
            <w:webHidden/>
          </w:rPr>
          <w:fldChar w:fldCharType="separate"/>
        </w:r>
        <w:r w:rsidR="00E34C68">
          <w:rPr>
            <w:webHidden/>
          </w:rPr>
          <w:t>6</w:t>
        </w:r>
        <w:r>
          <w:rPr>
            <w:webHidden/>
          </w:rPr>
          <w:fldChar w:fldCharType="end"/>
        </w:r>
      </w:hyperlink>
    </w:p>
    <w:p w14:paraId="5E2F9E62" w14:textId="19262E04" w:rsidR="00D066DA" w:rsidRDefault="00D066DA">
      <w:pPr>
        <w:pStyle w:val="TOC2"/>
        <w:rPr>
          <w:rFonts w:eastAsiaTheme="minorEastAsia"/>
          <w:sz w:val="22"/>
          <w:lang w:eastAsia="en-AU"/>
        </w:rPr>
      </w:pPr>
      <w:hyperlink w:anchor="_Toc81403416" w:history="1">
        <w:r w:rsidRPr="002C1A8C">
          <w:rPr>
            <w:rStyle w:val="Hyperlink"/>
          </w:rPr>
          <w:t>Chronic disease and vision loss</w:t>
        </w:r>
        <w:r>
          <w:rPr>
            <w:webHidden/>
          </w:rPr>
          <w:tab/>
        </w:r>
        <w:r>
          <w:rPr>
            <w:webHidden/>
          </w:rPr>
          <w:fldChar w:fldCharType="begin"/>
        </w:r>
        <w:r>
          <w:rPr>
            <w:webHidden/>
          </w:rPr>
          <w:instrText xml:space="preserve"> PAGEREF _Toc81403416 \h </w:instrText>
        </w:r>
        <w:r>
          <w:rPr>
            <w:webHidden/>
          </w:rPr>
        </w:r>
        <w:r>
          <w:rPr>
            <w:webHidden/>
          </w:rPr>
          <w:fldChar w:fldCharType="separate"/>
        </w:r>
        <w:r w:rsidR="00E34C68">
          <w:rPr>
            <w:webHidden/>
          </w:rPr>
          <w:t>6</w:t>
        </w:r>
        <w:r>
          <w:rPr>
            <w:webHidden/>
          </w:rPr>
          <w:fldChar w:fldCharType="end"/>
        </w:r>
      </w:hyperlink>
    </w:p>
    <w:p w14:paraId="63DC0C10" w14:textId="2B457EBA" w:rsidR="00D066DA" w:rsidRDefault="00D066DA">
      <w:pPr>
        <w:pStyle w:val="TOC2"/>
        <w:rPr>
          <w:rFonts w:eastAsiaTheme="minorEastAsia"/>
          <w:sz w:val="22"/>
          <w:lang w:eastAsia="en-AU"/>
        </w:rPr>
      </w:pPr>
      <w:hyperlink w:anchor="_Toc81403417" w:history="1">
        <w:r w:rsidRPr="002C1A8C">
          <w:rPr>
            <w:rStyle w:val="Hyperlink"/>
          </w:rPr>
          <w:t>Adapting MBS items to incorporate vision testing</w:t>
        </w:r>
        <w:r>
          <w:rPr>
            <w:webHidden/>
          </w:rPr>
          <w:tab/>
        </w:r>
        <w:r>
          <w:rPr>
            <w:webHidden/>
          </w:rPr>
          <w:fldChar w:fldCharType="begin"/>
        </w:r>
        <w:r>
          <w:rPr>
            <w:webHidden/>
          </w:rPr>
          <w:instrText xml:space="preserve"> PAGEREF _Toc81403417 \h </w:instrText>
        </w:r>
        <w:r>
          <w:rPr>
            <w:webHidden/>
          </w:rPr>
        </w:r>
        <w:r>
          <w:rPr>
            <w:webHidden/>
          </w:rPr>
          <w:fldChar w:fldCharType="separate"/>
        </w:r>
        <w:r w:rsidR="00E34C68">
          <w:rPr>
            <w:webHidden/>
          </w:rPr>
          <w:t>6</w:t>
        </w:r>
        <w:r>
          <w:rPr>
            <w:webHidden/>
          </w:rPr>
          <w:fldChar w:fldCharType="end"/>
        </w:r>
      </w:hyperlink>
    </w:p>
    <w:p w14:paraId="0BC7A253" w14:textId="4B55EEF3" w:rsidR="00D066DA" w:rsidRDefault="00D066DA">
      <w:pPr>
        <w:pStyle w:val="TOC2"/>
        <w:rPr>
          <w:rFonts w:eastAsiaTheme="minorEastAsia"/>
          <w:sz w:val="22"/>
          <w:lang w:eastAsia="en-AU"/>
        </w:rPr>
      </w:pPr>
      <w:hyperlink w:anchor="_Toc81403418" w:history="1">
        <w:r w:rsidRPr="002C1A8C">
          <w:rPr>
            <w:rStyle w:val="Hyperlink"/>
          </w:rPr>
          <w:t>Anticipated costs are minimal</w:t>
        </w:r>
        <w:r>
          <w:rPr>
            <w:webHidden/>
          </w:rPr>
          <w:tab/>
        </w:r>
        <w:r>
          <w:rPr>
            <w:webHidden/>
          </w:rPr>
          <w:fldChar w:fldCharType="begin"/>
        </w:r>
        <w:r>
          <w:rPr>
            <w:webHidden/>
          </w:rPr>
          <w:instrText xml:space="preserve"> PAGEREF _Toc81403418 \h </w:instrText>
        </w:r>
        <w:r>
          <w:rPr>
            <w:webHidden/>
          </w:rPr>
        </w:r>
        <w:r>
          <w:rPr>
            <w:webHidden/>
          </w:rPr>
          <w:fldChar w:fldCharType="separate"/>
        </w:r>
        <w:r w:rsidR="00E34C68">
          <w:rPr>
            <w:webHidden/>
          </w:rPr>
          <w:t>7</w:t>
        </w:r>
        <w:r>
          <w:rPr>
            <w:webHidden/>
          </w:rPr>
          <w:fldChar w:fldCharType="end"/>
        </w:r>
      </w:hyperlink>
    </w:p>
    <w:p w14:paraId="04AAFBD5" w14:textId="7556C167" w:rsidR="00D066DA" w:rsidRDefault="00D066DA">
      <w:pPr>
        <w:pStyle w:val="TOC1"/>
        <w:rPr>
          <w:rFonts w:eastAsiaTheme="minorEastAsia"/>
          <w:b w:val="0"/>
          <w:sz w:val="22"/>
          <w:lang w:eastAsia="en-AU"/>
        </w:rPr>
      </w:pPr>
      <w:hyperlink w:anchor="_Toc81403419" w:history="1">
        <w:r w:rsidRPr="002C1A8C">
          <w:rPr>
            <w:rStyle w:val="Hyperlink"/>
          </w:rPr>
          <w:t>Appendix A</w:t>
        </w:r>
        <w:r>
          <w:rPr>
            <w:webHidden/>
          </w:rPr>
          <w:tab/>
        </w:r>
        <w:r>
          <w:rPr>
            <w:webHidden/>
          </w:rPr>
          <w:fldChar w:fldCharType="begin"/>
        </w:r>
        <w:r>
          <w:rPr>
            <w:webHidden/>
          </w:rPr>
          <w:instrText xml:space="preserve"> PAGEREF _Toc81403419 \h </w:instrText>
        </w:r>
        <w:r>
          <w:rPr>
            <w:webHidden/>
          </w:rPr>
        </w:r>
        <w:r>
          <w:rPr>
            <w:webHidden/>
          </w:rPr>
          <w:fldChar w:fldCharType="separate"/>
        </w:r>
        <w:r w:rsidR="00E34C68">
          <w:rPr>
            <w:webHidden/>
          </w:rPr>
          <w:t>9</w:t>
        </w:r>
        <w:r>
          <w:rPr>
            <w:webHidden/>
          </w:rPr>
          <w:fldChar w:fldCharType="end"/>
        </w:r>
      </w:hyperlink>
    </w:p>
    <w:p w14:paraId="2E8BDE44" w14:textId="59AD2029" w:rsidR="00D066DA" w:rsidRDefault="00D066DA">
      <w:pPr>
        <w:pStyle w:val="TOC2"/>
        <w:rPr>
          <w:rFonts w:eastAsiaTheme="minorEastAsia"/>
          <w:sz w:val="22"/>
          <w:lang w:eastAsia="en-AU"/>
        </w:rPr>
      </w:pPr>
      <w:hyperlink w:anchor="_Toc81403420" w:history="1">
        <w:r w:rsidRPr="002C1A8C">
          <w:rPr>
            <w:rStyle w:val="Hyperlink"/>
          </w:rPr>
          <w:t>People for whom a general practitioner can claim for a general health assessment</w:t>
        </w:r>
        <w:r>
          <w:rPr>
            <w:webHidden/>
          </w:rPr>
          <w:tab/>
        </w:r>
        <w:r>
          <w:rPr>
            <w:webHidden/>
          </w:rPr>
          <w:fldChar w:fldCharType="begin"/>
        </w:r>
        <w:r>
          <w:rPr>
            <w:webHidden/>
          </w:rPr>
          <w:instrText xml:space="preserve"> PAGEREF _Toc81403420 \h </w:instrText>
        </w:r>
        <w:r>
          <w:rPr>
            <w:webHidden/>
          </w:rPr>
        </w:r>
        <w:r>
          <w:rPr>
            <w:webHidden/>
          </w:rPr>
          <w:fldChar w:fldCharType="separate"/>
        </w:r>
        <w:r w:rsidR="00E34C68">
          <w:rPr>
            <w:webHidden/>
          </w:rPr>
          <w:t>9</w:t>
        </w:r>
        <w:r>
          <w:rPr>
            <w:webHidden/>
          </w:rPr>
          <w:fldChar w:fldCharType="end"/>
        </w:r>
      </w:hyperlink>
    </w:p>
    <w:p w14:paraId="46DA9FE8" w14:textId="5D4B78B7" w:rsidR="00D066DA" w:rsidRDefault="00D066DA">
      <w:pPr>
        <w:pStyle w:val="TOC1"/>
        <w:rPr>
          <w:rFonts w:eastAsiaTheme="minorEastAsia"/>
          <w:b w:val="0"/>
          <w:sz w:val="22"/>
          <w:lang w:eastAsia="en-AU"/>
        </w:rPr>
      </w:pPr>
      <w:hyperlink w:anchor="_Toc81403421" w:history="1">
        <w:r w:rsidRPr="002C1A8C">
          <w:rPr>
            <w:rStyle w:val="Hyperlink"/>
          </w:rPr>
          <w:t>Appendix B</w:t>
        </w:r>
        <w:r>
          <w:rPr>
            <w:webHidden/>
          </w:rPr>
          <w:tab/>
        </w:r>
        <w:r>
          <w:rPr>
            <w:webHidden/>
          </w:rPr>
          <w:fldChar w:fldCharType="begin"/>
        </w:r>
        <w:r>
          <w:rPr>
            <w:webHidden/>
          </w:rPr>
          <w:instrText xml:space="preserve"> PAGEREF _Toc81403421 \h </w:instrText>
        </w:r>
        <w:r>
          <w:rPr>
            <w:webHidden/>
          </w:rPr>
        </w:r>
        <w:r>
          <w:rPr>
            <w:webHidden/>
          </w:rPr>
          <w:fldChar w:fldCharType="separate"/>
        </w:r>
        <w:r w:rsidR="00E34C68">
          <w:rPr>
            <w:webHidden/>
          </w:rPr>
          <w:t>10</w:t>
        </w:r>
        <w:r>
          <w:rPr>
            <w:webHidden/>
          </w:rPr>
          <w:fldChar w:fldCharType="end"/>
        </w:r>
      </w:hyperlink>
    </w:p>
    <w:p w14:paraId="4C3572E1" w14:textId="76A976E9" w:rsidR="00D066DA" w:rsidRDefault="00D066DA">
      <w:pPr>
        <w:pStyle w:val="TOC2"/>
        <w:rPr>
          <w:rFonts w:eastAsiaTheme="minorEastAsia"/>
          <w:sz w:val="22"/>
          <w:lang w:eastAsia="en-AU"/>
        </w:rPr>
      </w:pPr>
      <w:hyperlink w:anchor="_Toc81403422" w:history="1">
        <w:r w:rsidRPr="002C1A8C">
          <w:rPr>
            <w:rStyle w:val="Hyperlink"/>
          </w:rPr>
          <w:t>Estimated impact on MBS services</w:t>
        </w:r>
        <w:r>
          <w:rPr>
            <w:webHidden/>
          </w:rPr>
          <w:tab/>
        </w:r>
        <w:r>
          <w:rPr>
            <w:webHidden/>
          </w:rPr>
          <w:fldChar w:fldCharType="begin"/>
        </w:r>
        <w:r>
          <w:rPr>
            <w:webHidden/>
          </w:rPr>
          <w:instrText xml:space="preserve"> PAGEREF _Toc81403422 \h </w:instrText>
        </w:r>
        <w:r>
          <w:rPr>
            <w:webHidden/>
          </w:rPr>
        </w:r>
        <w:r>
          <w:rPr>
            <w:webHidden/>
          </w:rPr>
          <w:fldChar w:fldCharType="separate"/>
        </w:r>
        <w:r w:rsidR="00E34C68">
          <w:rPr>
            <w:webHidden/>
          </w:rPr>
          <w:t>10</w:t>
        </w:r>
        <w:r>
          <w:rPr>
            <w:webHidden/>
          </w:rPr>
          <w:fldChar w:fldCharType="end"/>
        </w:r>
      </w:hyperlink>
    </w:p>
    <w:p w14:paraId="41EF97FF" w14:textId="3984F549" w:rsidR="00D066DA" w:rsidRDefault="00D066DA" w:rsidP="00BE6FD0">
      <w:pPr>
        <w:pStyle w:val="Heading1"/>
      </w:pPr>
      <w:r>
        <w:fldChar w:fldCharType="end"/>
      </w:r>
      <w:r>
        <w:br w:type="page"/>
      </w:r>
    </w:p>
    <w:p w14:paraId="420B0D7C" w14:textId="77777777" w:rsidR="00D066DA" w:rsidRDefault="00D066DA" w:rsidP="00BE6FD0">
      <w:pPr>
        <w:pStyle w:val="Heading1"/>
      </w:pPr>
    </w:p>
    <w:p w14:paraId="632B6767" w14:textId="77777777" w:rsidR="00D066DA" w:rsidRDefault="00D066DA" w:rsidP="00BE6FD0">
      <w:pPr>
        <w:pStyle w:val="Heading1"/>
      </w:pPr>
    </w:p>
    <w:p w14:paraId="73848135" w14:textId="1FA6F5AB" w:rsidR="00BE6FD0" w:rsidRPr="00BE6FD0" w:rsidRDefault="00BE6FD0" w:rsidP="00BE6FD0">
      <w:pPr>
        <w:pStyle w:val="Heading1"/>
      </w:pPr>
      <w:bookmarkStart w:id="1" w:name="_Toc81403413"/>
      <w:r w:rsidRPr="00BE6FD0">
        <w:t>About Vision 2020 Australia</w:t>
      </w:r>
      <w:bookmarkEnd w:id="1"/>
      <w:r w:rsidRPr="00BE6FD0">
        <w:t xml:space="preserve"> </w:t>
      </w:r>
    </w:p>
    <w:p w14:paraId="0B7B9B30" w14:textId="77777777" w:rsidR="00BE6FD0" w:rsidRDefault="00BE6FD0" w:rsidP="00BE6FD0">
      <w:pPr>
        <w:pStyle w:val="BodyText"/>
      </w:pPr>
    </w:p>
    <w:p w14:paraId="26E97DF9" w14:textId="77777777" w:rsidR="00BE6FD0" w:rsidRPr="00BE6FD0" w:rsidRDefault="00BE6FD0" w:rsidP="00BE6FD0">
      <w:pPr>
        <w:pStyle w:val="BodyText"/>
      </w:pPr>
      <w:r w:rsidRPr="00BE6FD0">
        <w:t xml:space="preserve">Vision 2020 Australia is the national peak body for the eye health and vision care sector. </w:t>
      </w:r>
    </w:p>
    <w:p w14:paraId="1EF32A40" w14:textId="77777777" w:rsidR="00BE6FD0" w:rsidRPr="00BE6FD0" w:rsidRDefault="00BE6FD0" w:rsidP="00BE6FD0">
      <w:pPr>
        <w:pStyle w:val="BodyText"/>
      </w:pPr>
      <w:r w:rsidRPr="00BE6FD0">
        <w:t xml:space="preserve">Working with and representing almost 50 member organisations, we focus on supporting policy and funding changes to prevent avoidable blindness, enhance eye care delivery and better meet the needs of people who are blind or living with low vision. </w:t>
      </w:r>
    </w:p>
    <w:p w14:paraId="6D8FA62F" w14:textId="77777777" w:rsidR="00BE6FD0" w:rsidRPr="00BE6FD0" w:rsidRDefault="00BE6FD0" w:rsidP="00BE6FD0">
      <w:pPr>
        <w:pStyle w:val="BodyText"/>
      </w:pPr>
      <w:r w:rsidRPr="00BE6FD0">
        <w:t xml:space="preserve">Our members span a wide range of areas and are involved in local and global eye health and vision care, health promotion, low vision support, vision rehabilitation, eye research, professional assistance, and community support. </w:t>
      </w:r>
    </w:p>
    <w:p w14:paraId="55BDE88B" w14:textId="77777777" w:rsidR="00BE6FD0" w:rsidRPr="00BE6FD0" w:rsidRDefault="00BE6FD0" w:rsidP="00BE6FD0">
      <w:pPr>
        <w:pStyle w:val="BodyText"/>
      </w:pPr>
      <w:r w:rsidRPr="00BE6FD0">
        <w:t xml:space="preserve">This means that the work we do in developing sector-supported policy and advice brings a diverse range of expertise and perspectives to bear, and that the perspectives and experiences of both service users and service providers are at the heart of our work. </w:t>
      </w:r>
    </w:p>
    <w:p w14:paraId="15142CD7" w14:textId="77777777" w:rsidR="00BE6FD0" w:rsidRPr="00BE6FD0" w:rsidRDefault="00BE6FD0" w:rsidP="00BE6FD0">
      <w:pPr>
        <w:pStyle w:val="BodyText"/>
      </w:pPr>
      <w:r w:rsidRPr="00BE6FD0">
        <w:t xml:space="preserve">Avoidable blindness and vision loss in Australia, and our region, can be prevented and treated by working in partnership across government, non-government, private and community sectors. </w:t>
      </w:r>
    </w:p>
    <w:p w14:paraId="06B5F925" w14:textId="77777777" w:rsidR="00BE6FD0" w:rsidRPr="00BE6FD0" w:rsidRDefault="00BE6FD0" w:rsidP="00BE6FD0">
      <w:pPr>
        <w:pStyle w:val="BodyText"/>
      </w:pPr>
    </w:p>
    <w:p w14:paraId="0ED72CB8" w14:textId="30CEA682" w:rsidR="00BE6FD0" w:rsidRPr="00BE6FD0" w:rsidRDefault="00BE6FD0" w:rsidP="00BE6FD0">
      <w:pPr>
        <w:pStyle w:val="BodyText"/>
      </w:pPr>
      <w:r w:rsidRPr="00BE6FD0">
        <w:t xml:space="preserve">For further information </w:t>
      </w:r>
      <w:r w:rsidRPr="00BE6FD0">
        <w:t xml:space="preserve">please contact the Vision 2020 Australia Chief Executive Officer on </w:t>
      </w:r>
      <w:r w:rsidRPr="00BE6FD0">
        <w:t>ceo@vision2020australia.org.au</w:t>
      </w:r>
    </w:p>
    <w:p w14:paraId="5249071D" w14:textId="77777777" w:rsidR="00BE6FD0" w:rsidRDefault="00BE6FD0" w:rsidP="00BE6FD0">
      <w:pPr>
        <w:spacing w:before="120" w:after="120" w:line="264" w:lineRule="auto"/>
        <w:rPr>
          <w:rFonts w:eastAsia="Times New Roman" w:cs="Times New Roman"/>
          <w:sz w:val="22"/>
          <w:szCs w:val="24"/>
          <w:lang w:eastAsia="en-AU"/>
        </w:rPr>
      </w:pPr>
    </w:p>
    <w:p w14:paraId="4A246E9B" w14:textId="77777777" w:rsidR="00BE6FD0" w:rsidRDefault="00BE6FD0" w:rsidP="00EA4392">
      <w:pPr>
        <w:pStyle w:val="Heading1"/>
      </w:pPr>
    </w:p>
    <w:p w14:paraId="01AB11D3" w14:textId="77777777" w:rsidR="00BE6FD0" w:rsidRDefault="00BE6FD0" w:rsidP="00EA4392">
      <w:pPr>
        <w:pStyle w:val="Heading1"/>
      </w:pPr>
    </w:p>
    <w:p w14:paraId="56467CE8" w14:textId="77777777" w:rsidR="00BE6FD0" w:rsidRDefault="00BE6FD0" w:rsidP="00EA4392">
      <w:pPr>
        <w:pStyle w:val="Heading1"/>
      </w:pPr>
    </w:p>
    <w:p w14:paraId="581414AA" w14:textId="77777777" w:rsidR="00BE6FD0" w:rsidRDefault="00BE6FD0" w:rsidP="00EA4392">
      <w:pPr>
        <w:pStyle w:val="Heading1"/>
      </w:pPr>
    </w:p>
    <w:p w14:paraId="11761CE6" w14:textId="77777777" w:rsidR="00BE6FD0" w:rsidRDefault="00BE6FD0" w:rsidP="00EA4392">
      <w:pPr>
        <w:pStyle w:val="Heading1"/>
      </w:pPr>
    </w:p>
    <w:p w14:paraId="104100FB" w14:textId="77777777" w:rsidR="00D066DA" w:rsidRDefault="00D066DA" w:rsidP="00EA4392">
      <w:pPr>
        <w:pStyle w:val="Heading1"/>
      </w:pPr>
      <w:r>
        <w:br w:type="page"/>
      </w:r>
    </w:p>
    <w:p w14:paraId="12B788A3" w14:textId="508B6F7D" w:rsidR="00EA4392" w:rsidRPr="00EA4392" w:rsidRDefault="00EA4392" w:rsidP="00EA4392">
      <w:pPr>
        <w:pStyle w:val="Heading1"/>
      </w:pPr>
      <w:bookmarkStart w:id="2" w:name="_Toc81403414"/>
      <w:r w:rsidRPr="00EA4392">
        <w:lastRenderedPageBreak/>
        <w:t>Summary</w:t>
      </w:r>
      <w:bookmarkEnd w:id="2"/>
    </w:p>
    <w:p w14:paraId="26018446" w14:textId="77777777" w:rsidR="00EA4392" w:rsidRPr="00EA4392" w:rsidRDefault="00EA4392" w:rsidP="00EA4392">
      <w:pPr>
        <w:spacing w:before="120" w:after="120" w:line="264" w:lineRule="auto"/>
        <w:rPr>
          <w:rFonts w:eastAsia="Times New Roman" w:cs="Times New Roman"/>
          <w:sz w:val="22"/>
          <w:szCs w:val="24"/>
          <w:lang w:eastAsia="en-AU"/>
        </w:rPr>
      </w:pPr>
      <w:bookmarkStart w:id="3" w:name="_Hlk76635021"/>
      <w:r w:rsidRPr="00EA4392">
        <w:rPr>
          <w:rFonts w:eastAsia="Times New Roman" w:cs="Times New Roman"/>
          <w:sz w:val="22"/>
          <w:szCs w:val="24"/>
          <w:lang w:eastAsia="en-AU"/>
        </w:rPr>
        <w:t>Vision is an important contributor to overall health and wellbeing and can have a significant impact on a person’s ability to manage their health conditions.</w:t>
      </w:r>
    </w:p>
    <w:p w14:paraId="233C279B" w14:textId="49385E62" w:rsidR="00EA4392" w:rsidRPr="00EA4392" w:rsidRDefault="00BE6FD0" w:rsidP="00EA4392">
      <w:pPr>
        <w:spacing w:before="120" w:after="120" w:line="264" w:lineRule="auto"/>
        <w:rPr>
          <w:rFonts w:eastAsia="Times New Roman" w:cs="Times New Roman"/>
          <w:sz w:val="22"/>
          <w:szCs w:val="24"/>
          <w:lang w:eastAsia="en-AU"/>
        </w:rPr>
      </w:pPr>
      <w:r w:rsidRPr="00EA4392">
        <w:rPr>
          <w:rFonts w:eastAsia="Times New Roman" w:cs="Times New Roman"/>
          <w:noProof/>
          <w:sz w:val="22"/>
          <w:szCs w:val="24"/>
          <w:lang w:eastAsia="en-AU"/>
        </w:rPr>
        <mc:AlternateContent>
          <mc:Choice Requires="wps">
            <w:drawing>
              <wp:anchor distT="91440" distB="91440" distL="114300" distR="114300" simplePos="0" relativeHeight="251656192" behindDoc="0" locked="0" layoutInCell="1" allowOverlap="1" wp14:anchorId="45A80B91" wp14:editId="2EC0F13E">
                <wp:simplePos x="0" y="0"/>
                <wp:positionH relativeFrom="page">
                  <wp:posOffset>5066665</wp:posOffset>
                </wp:positionH>
                <wp:positionV relativeFrom="paragraph">
                  <wp:posOffset>23495</wp:posOffset>
                </wp:positionV>
                <wp:extent cx="1818005" cy="1403985"/>
                <wp:effectExtent l="0" t="0" r="0" b="635"/>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5" cy="1403985"/>
                        </a:xfrm>
                        <a:prstGeom prst="rect">
                          <a:avLst/>
                        </a:prstGeom>
                        <a:noFill/>
                        <a:ln w="9525">
                          <a:noFill/>
                          <a:miter lim="800000"/>
                          <a:headEnd/>
                          <a:tailEnd/>
                        </a:ln>
                      </wps:spPr>
                      <wps:txbx>
                        <w:txbxContent>
                          <w:p w14:paraId="4B53C395" w14:textId="5BAF6191" w:rsidR="00EA4392" w:rsidRPr="00EA4392" w:rsidRDefault="00EA4392">
                            <w:pPr>
                              <w:pBdr>
                                <w:top w:val="single" w:sz="24" w:space="8" w:color="004B8D" w:themeColor="accent1"/>
                                <w:bottom w:val="single" w:sz="24" w:space="8" w:color="004B8D" w:themeColor="accent1"/>
                              </w:pBdr>
                              <w:rPr>
                                <w:i/>
                                <w:iCs/>
                                <w:color w:val="004B8D" w:themeColor="accent1"/>
                                <w:sz w:val="22"/>
                              </w:rPr>
                            </w:pPr>
                            <w:r w:rsidRPr="00EA4392">
                              <w:rPr>
                                <w:i/>
                                <w:iCs/>
                                <w:color w:val="004B8D" w:themeColor="accent1"/>
                                <w:sz w:val="22"/>
                              </w:rPr>
                              <w:t xml:space="preserve">People with chronic disease are often at higher risk of avoidable vision loss, either due to the condition itself and/or potential side effects of treatment.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A80B91" id="_x0000_t202" coordsize="21600,21600" o:spt="202" path="m,l,21600r21600,l21600,xe">
                <v:stroke joinstyle="miter"/>
                <v:path gradientshapeok="t" o:connecttype="rect"/>
              </v:shapetype>
              <v:shape id="Text Box 2" o:spid="_x0000_s1026" type="#_x0000_t202" style="position:absolute;margin-left:398.95pt;margin-top:1.85pt;width:143.15pt;height:110.55pt;z-index:251656192;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" filled="f" stroked="f">
                <v:textbox style="mso-fit-shape-to-text:t">
                  <w:txbxContent>
                    <w:p w14:paraId="4B53C395" w14:textId="5BAF6191" w:rsidR="00EA4392" w:rsidRPr="00EA4392" w:rsidRDefault="00EA4392">
                      <w:pPr>
                        <w:pBdr>
                          <w:top w:val="single" w:sz="24" w:space="8" w:color="004B8D" w:themeColor="accent1"/>
                          <w:bottom w:val="single" w:sz="24" w:space="8" w:color="004B8D" w:themeColor="accent1"/>
                        </w:pBdr>
                        <w:rPr>
                          <w:i/>
                          <w:iCs/>
                          <w:color w:val="004B8D" w:themeColor="accent1"/>
                          <w:sz w:val="22"/>
                        </w:rPr>
                      </w:pPr>
                      <w:r w:rsidRPr="00EA4392">
                        <w:rPr>
                          <w:i/>
                          <w:iCs/>
                          <w:color w:val="004B8D" w:themeColor="accent1"/>
                          <w:sz w:val="22"/>
                        </w:rPr>
                        <w:t xml:space="preserve">People with chronic disease are often at higher risk of avoidable vision loss, either due to the condition itself and/or potential side effects of treatment. </w:t>
                      </w:r>
                    </w:p>
                  </w:txbxContent>
                </v:textbox>
                <w10:wrap type="square" anchorx="page"/>
              </v:shape>
            </w:pict>
          </mc:Fallback>
        </mc:AlternateContent>
      </w:r>
      <w:r w:rsidR="00EA4392" w:rsidRPr="00EA4392">
        <w:rPr>
          <w:rFonts w:eastAsia="Times New Roman" w:cs="Times New Roman"/>
          <w:sz w:val="22"/>
          <w:szCs w:val="24"/>
          <w:lang w:eastAsia="en-AU"/>
        </w:rPr>
        <w:t>Recent reports from both the World Health Organisation</w:t>
      </w:r>
      <w:r w:rsidR="00EA4392" w:rsidRPr="00EA4392">
        <w:rPr>
          <w:rFonts w:eastAsia="Times New Roman" w:cs="Times New Roman"/>
          <w:sz w:val="22"/>
          <w:szCs w:val="24"/>
          <w:vertAlign w:val="superscript"/>
          <w:lang w:eastAsia="en-AU"/>
        </w:rPr>
        <w:footnoteReference w:id="1"/>
      </w:r>
      <w:r w:rsidR="00EA4392" w:rsidRPr="00EA4392">
        <w:rPr>
          <w:rFonts w:eastAsia="Times New Roman" w:cs="Times New Roman"/>
          <w:sz w:val="22"/>
          <w:szCs w:val="24"/>
          <w:lang w:eastAsia="en-AU"/>
        </w:rPr>
        <w:t xml:space="preserve"> and the Lancet Global Health Commission</w:t>
      </w:r>
      <w:r w:rsidR="00EA4392" w:rsidRPr="00EA4392">
        <w:rPr>
          <w:rFonts w:eastAsia="Times New Roman" w:cs="Times New Roman"/>
          <w:sz w:val="22"/>
          <w:szCs w:val="24"/>
          <w:vertAlign w:val="superscript"/>
          <w:lang w:eastAsia="en-AU"/>
        </w:rPr>
        <w:footnoteReference w:id="2"/>
      </w:r>
      <w:r w:rsidR="00EA4392" w:rsidRPr="00EA4392">
        <w:rPr>
          <w:rFonts w:eastAsia="Times New Roman" w:cs="Times New Roman"/>
          <w:sz w:val="22"/>
          <w:szCs w:val="24"/>
          <w:lang w:eastAsia="en-AU"/>
        </w:rPr>
        <w:t xml:space="preserve"> have emphasised the close interrelationships between vision and health, with the World Health Organisation calling for vision impairment to be included in chronic health definitions and care.</w:t>
      </w:r>
      <w:r w:rsidR="00EA4392" w:rsidRPr="00EA4392">
        <w:rPr>
          <w:rFonts w:eastAsia="Times New Roman" w:cs="Times New Roman"/>
          <w:sz w:val="22"/>
          <w:szCs w:val="24"/>
          <w:vertAlign w:val="superscript"/>
          <w:lang w:eastAsia="en-AU"/>
        </w:rPr>
        <w:footnoteReference w:id="3"/>
      </w:r>
      <w:r w:rsidR="00EA4392" w:rsidRPr="00EA4392">
        <w:rPr>
          <w:rFonts w:eastAsia="Times New Roman" w:cs="Times New Roman"/>
          <w:sz w:val="22"/>
          <w:szCs w:val="24"/>
          <w:lang w:eastAsia="en-AU"/>
        </w:rPr>
        <w:t xml:space="preserve">  </w:t>
      </w:r>
    </w:p>
    <w:p w14:paraId="55C8254C" w14:textId="764B7E4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Through its involvement in the World Health Assembly, Australia along with other member states has committed to increase its cataract surgery coverage to meet the new global eye target of a 30-percentage point increase in effective coverage by 2030.</w:t>
      </w:r>
    </w:p>
    <w:bookmarkEnd w:id="3"/>
    <w:p w14:paraId="7A4BB317" w14:textId="74154AAD"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People with chronic disease are often at higher risk of avoidable vision loss, either due to the condition itself and/or potential side effects of treatment. </w:t>
      </w:r>
    </w:p>
    <w:p w14:paraId="45227B6E" w14:textId="6F8A78EE" w:rsidR="00EA4392" w:rsidRPr="00EA4392" w:rsidRDefault="00BE6FD0" w:rsidP="00EA4392">
      <w:pPr>
        <w:spacing w:before="120" w:after="120" w:line="264" w:lineRule="auto"/>
        <w:rPr>
          <w:rFonts w:eastAsia="Times New Roman" w:cs="Times New Roman"/>
          <w:sz w:val="22"/>
          <w:szCs w:val="24"/>
          <w:lang w:eastAsia="en-AU"/>
        </w:rPr>
      </w:pPr>
      <w:r w:rsidRPr="00EA4392">
        <w:rPr>
          <w:rFonts w:eastAsia="Times New Roman" w:cs="Times New Roman"/>
          <w:noProof/>
          <w:sz w:val="22"/>
          <w:szCs w:val="24"/>
          <w:lang w:eastAsia="en-AU"/>
        </w:rPr>
        <mc:AlternateContent>
          <mc:Choice Requires="wps">
            <w:drawing>
              <wp:anchor distT="91440" distB="91440" distL="114300" distR="114300" simplePos="0" relativeHeight="251660288" behindDoc="0" locked="0" layoutInCell="1" allowOverlap="1" wp14:anchorId="69920568" wp14:editId="47200602">
                <wp:simplePos x="0" y="0"/>
                <wp:positionH relativeFrom="page">
                  <wp:posOffset>5114925</wp:posOffset>
                </wp:positionH>
                <wp:positionV relativeFrom="paragraph">
                  <wp:posOffset>17780</wp:posOffset>
                </wp:positionV>
                <wp:extent cx="1894205" cy="1403985"/>
                <wp:effectExtent l="0" t="0" r="0" b="57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205" cy="1403985"/>
                        </a:xfrm>
                        <a:prstGeom prst="rect">
                          <a:avLst/>
                        </a:prstGeom>
                        <a:noFill/>
                        <a:ln w="9525">
                          <a:noFill/>
                          <a:miter lim="800000"/>
                          <a:headEnd/>
                          <a:tailEnd/>
                        </a:ln>
                      </wps:spPr>
                      <wps:txbx>
                        <w:txbxContent>
                          <w:p w14:paraId="3E184419" w14:textId="27255886" w:rsidR="00EA4392" w:rsidRDefault="00EA4392">
                            <w:pPr>
                              <w:pBdr>
                                <w:top w:val="single" w:sz="24" w:space="8" w:color="004B8D" w:themeColor="accent1"/>
                                <w:bottom w:val="single" w:sz="24" w:space="8" w:color="004B8D" w:themeColor="accent1"/>
                              </w:pBdr>
                              <w:rPr>
                                <w:i/>
                                <w:iCs/>
                                <w:color w:val="004B8D" w:themeColor="accent1"/>
                              </w:rPr>
                            </w:pPr>
                            <w:r w:rsidRPr="00EA4392">
                              <w:rPr>
                                <w:i/>
                                <w:iCs/>
                                <w:color w:val="004B8D" w:themeColor="accent1"/>
                                <w:sz w:val="22"/>
                              </w:rPr>
                              <w:t xml:space="preserve">Vision 2020 Australia is now seeking changes to make vision checks a required element of </w:t>
                            </w:r>
                            <w:r w:rsidR="00BE6FD0">
                              <w:rPr>
                                <w:i/>
                                <w:iCs/>
                                <w:color w:val="004B8D" w:themeColor="accent1"/>
                                <w:sz w:val="22"/>
                              </w:rPr>
                              <w:t xml:space="preserve">MBS </w:t>
                            </w:r>
                            <w:r w:rsidRPr="00EA4392">
                              <w:rPr>
                                <w:i/>
                                <w:iCs/>
                                <w:color w:val="004B8D" w:themeColor="accent1"/>
                                <w:sz w:val="22"/>
                              </w:rPr>
                              <w:t xml:space="preserve">chronic health checks for </w:t>
                            </w:r>
                            <w:r w:rsidR="00BE6FD0">
                              <w:rPr>
                                <w:i/>
                                <w:iCs/>
                                <w:color w:val="004B8D" w:themeColor="accent1"/>
                                <w:sz w:val="22"/>
                              </w:rPr>
                              <w:t>all</w:t>
                            </w:r>
                            <w:r w:rsidRPr="00EA4392">
                              <w:rPr>
                                <w:i/>
                                <w:iCs/>
                                <w:color w:val="004B8D" w:themeColor="accent1"/>
                                <w:sz w:val="22"/>
                              </w:rPr>
                              <w:t xml:space="preserve"> Australians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920568" id="_x0000_s1027" type="#_x0000_t202" style="position:absolute;margin-left:402.75pt;margin-top:1.4pt;width:149.15pt;height:110.55pt;z-index:25166028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" filled="f" stroked="f">
                <v:textbox style="mso-fit-shape-to-text:t">
                  <w:txbxContent>
                    <w:p w14:paraId="3E184419" w14:textId="27255886" w:rsidR="00EA4392" w:rsidRDefault="00EA4392">
                      <w:pPr>
                        <w:pBdr>
                          <w:top w:val="single" w:sz="24" w:space="8" w:color="004B8D" w:themeColor="accent1"/>
                          <w:bottom w:val="single" w:sz="24" w:space="8" w:color="004B8D" w:themeColor="accent1"/>
                        </w:pBdr>
                        <w:rPr>
                          <w:i/>
                          <w:iCs/>
                          <w:color w:val="004B8D" w:themeColor="accent1"/>
                        </w:rPr>
                      </w:pPr>
                      <w:r w:rsidRPr="00EA4392">
                        <w:rPr>
                          <w:i/>
                          <w:iCs/>
                          <w:color w:val="004B8D" w:themeColor="accent1"/>
                          <w:sz w:val="22"/>
                        </w:rPr>
                        <w:t xml:space="preserve">Vision 2020 Australia is now seeking changes to make vision checks a required element of </w:t>
                      </w:r>
                      <w:r w:rsidR="00BE6FD0">
                        <w:rPr>
                          <w:i/>
                          <w:iCs/>
                          <w:color w:val="004B8D" w:themeColor="accent1"/>
                          <w:sz w:val="22"/>
                        </w:rPr>
                        <w:t xml:space="preserve">MBS </w:t>
                      </w:r>
                      <w:r w:rsidRPr="00EA4392">
                        <w:rPr>
                          <w:i/>
                          <w:iCs/>
                          <w:color w:val="004B8D" w:themeColor="accent1"/>
                          <w:sz w:val="22"/>
                        </w:rPr>
                        <w:t xml:space="preserve">chronic health checks for </w:t>
                      </w:r>
                      <w:r w:rsidR="00BE6FD0">
                        <w:rPr>
                          <w:i/>
                          <w:iCs/>
                          <w:color w:val="004B8D" w:themeColor="accent1"/>
                          <w:sz w:val="22"/>
                        </w:rPr>
                        <w:t>all</w:t>
                      </w:r>
                      <w:r w:rsidRPr="00EA4392">
                        <w:rPr>
                          <w:i/>
                          <w:iCs/>
                          <w:color w:val="004B8D" w:themeColor="accent1"/>
                          <w:sz w:val="22"/>
                        </w:rPr>
                        <w:t xml:space="preserve"> Australians</w:t>
                      </w:r>
                    </w:p>
                  </w:txbxContent>
                </v:textbox>
                <w10:wrap type="square" anchorx="page"/>
              </v:shape>
            </w:pict>
          </mc:Fallback>
        </mc:AlternateContent>
      </w:r>
      <w:r w:rsidR="00EA4392" w:rsidRPr="00EA4392">
        <w:rPr>
          <w:rFonts w:eastAsia="Times New Roman" w:cs="Times New Roman"/>
          <w:sz w:val="22"/>
          <w:szCs w:val="24"/>
          <w:lang w:eastAsia="en-AU"/>
        </w:rPr>
        <w:t xml:space="preserve">Creating a mechanism that allows people who have, or are at risk of, chronic conditions to have a vision check as a routine part of their primary health care will help ensure that those Australians at risk of vision loss are identified and referred early for management. </w:t>
      </w:r>
    </w:p>
    <w:p w14:paraId="56E61163" w14:textId="57AA1534"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This is an important element of preventing avoidable vision loss, and such arrangements are already in place for Aboriginal and Torres Strait Islander Peoples via MBS item 715. </w:t>
      </w:r>
    </w:p>
    <w:p w14:paraId="5335E86B" w14:textId="16239EA9"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Vision 2020 Australia is now seeking changes to MBS items 701, 703, 705 and 707 to make vision checks a required element of chronic health checks for other Australians. </w:t>
      </w:r>
    </w:p>
    <w:p w14:paraId="56222876" w14:textId="494F0A80"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The costs associated with such a change are estimated to be minimal. Analysis undertaken by Vision 2020 Australia suggests that, given current optometric testing rates in both the 45-64 and the 65+ age groups and current chronic health check testing rates for those cohorts, at most the consequential increase in optometric MBS billing would be some 0.7% on current billing rates.  </w:t>
      </w:r>
    </w:p>
    <w:p w14:paraId="77771DAA" w14:textId="022C79B8" w:rsidR="00EA4392" w:rsidRPr="00EA4392" w:rsidRDefault="00BE6FD0" w:rsidP="00EA4392">
      <w:pPr>
        <w:spacing w:before="120" w:after="120" w:line="264" w:lineRule="auto"/>
        <w:rPr>
          <w:rFonts w:eastAsia="Times New Roman" w:cs="Times New Roman"/>
          <w:sz w:val="22"/>
          <w:szCs w:val="24"/>
          <w:lang w:eastAsia="en-AU"/>
        </w:rPr>
      </w:pPr>
      <w:r w:rsidRPr="00BE6FD0">
        <w:rPr>
          <w:rFonts w:eastAsia="Times New Roman" w:cs="Times New Roman"/>
          <w:noProof/>
          <w:sz w:val="22"/>
          <w:szCs w:val="24"/>
          <w:lang w:eastAsia="en-AU"/>
        </w:rPr>
        <mc:AlternateContent>
          <mc:Choice Requires="wps">
            <w:drawing>
              <wp:anchor distT="91440" distB="91440" distL="114300" distR="114300" simplePos="0" relativeHeight="251662336" behindDoc="0" locked="0" layoutInCell="1" allowOverlap="1" wp14:anchorId="1A4ACA1D" wp14:editId="67ABD239">
                <wp:simplePos x="0" y="0"/>
                <wp:positionH relativeFrom="page">
                  <wp:posOffset>5076825</wp:posOffset>
                </wp:positionH>
                <wp:positionV relativeFrom="paragraph">
                  <wp:posOffset>-265430</wp:posOffset>
                </wp:positionV>
                <wp:extent cx="2075180" cy="1403985"/>
                <wp:effectExtent l="0" t="0" r="0" b="31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5180" cy="1403985"/>
                        </a:xfrm>
                        <a:prstGeom prst="rect">
                          <a:avLst/>
                        </a:prstGeom>
                        <a:noFill/>
                        <a:ln w="9525">
                          <a:noFill/>
                          <a:miter lim="800000"/>
                          <a:headEnd/>
                          <a:tailEnd/>
                        </a:ln>
                      </wps:spPr>
                      <wps:txbx>
                        <w:txbxContent>
                          <w:p w14:paraId="0BB9B081" w14:textId="1B2FEAFF" w:rsidR="00BE6FD0" w:rsidRPr="00BE6FD0" w:rsidRDefault="00BE6FD0">
                            <w:pPr>
                              <w:pBdr>
                                <w:top w:val="single" w:sz="24" w:space="8" w:color="004B8D" w:themeColor="accent1"/>
                                <w:bottom w:val="single" w:sz="24" w:space="8" w:color="004B8D" w:themeColor="accent1"/>
                              </w:pBdr>
                              <w:rPr>
                                <w:i/>
                                <w:iCs/>
                                <w:color w:val="004B8D" w:themeColor="accent1"/>
                                <w:sz w:val="22"/>
                              </w:rPr>
                            </w:pPr>
                            <w:r w:rsidRPr="00BE6FD0">
                              <w:rPr>
                                <w:i/>
                                <w:iCs/>
                                <w:color w:val="004B8D" w:themeColor="accent1"/>
                                <w:sz w:val="22"/>
                              </w:rPr>
                              <w:t>It is estimated that at most, additional eye examinations generated by this change could increase optometric MBS billing rates by up to 0.7% but could prevent avoidable vision loss which can cost over $35K per affected Australian pa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4ACA1D" id="_x0000_s1028" type="#_x0000_t202" style="position:absolute;margin-left:399.75pt;margin-top:-20.9pt;width:163.4pt;height:110.55pt;z-index:251662336;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" filled="f" stroked="f">
                <v:textbox style="mso-fit-shape-to-text:t">
                  <w:txbxContent>
                    <w:p w14:paraId="0BB9B081" w14:textId="1B2FEAFF" w:rsidR="00BE6FD0" w:rsidRPr="00BE6FD0" w:rsidRDefault="00BE6FD0">
                      <w:pPr>
                        <w:pBdr>
                          <w:top w:val="single" w:sz="24" w:space="8" w:color="004B8D" w:themeColor="accent1"/>
                          <w:bottom w:val="single" w:sz="24" w:space="8" w:color="004B8D" w:themeColor="accent1"/>
                        </w:pBdr>
                        <w:rPr>
                          <w:i/>
                          <w:iCs/>
                          <w:color w:val="004B8D" w:themeColor="accent1"/>
                          <w:sz w:val="22"/>
                        </w:rPr>
                      </w:pPr>
                      <w:r w:rsidRPr="00BE6FD0">
                        <w:rPr>
                          <w:i/>
                          <w:iCs/>
                          <w:color w:val="004B8D" w:themeColor="accent1"/>
                          <w:sz w:val="22"/>
                        </w:rPr>
                        <w:t>It is estimated that at most, additional eye examinations generated by this change could increase optometric MBS billing rates by up to 0.7% but could prevent avoidable vision loss which can cost over $35K per affected Australian pa</w:t>
                      </w:r>
                    </w:p>
                  </w:txbxContent>
                </v:textbox>
                <w10:wrap type="square" anchorx="page"/>
              </v:shape>
            </w:pict>
          </mc:Fallback>
        </mc:AlternateContent>
      </w:r>
      <w:r w:rsidR="00EA4392" w:rsidRPr="00EA4392">
        <w:rPr>
          <w:rFonts w:eastAsia="Times New Roman" w:cs="Times New Roman"/>
          <w:sz w:val="22"/>
          <w:szCs w:val="24"/>
          <w:lang w:eastAsia="en-AU"/>
        </w:rPr>
        <w:t>Critically, the cost associated with these increases would be outweighed by the significant economic and social benefits of preventing avoidable vision loss in these populations.</w:t>
      </w:r>
    </w:p>
    <w:p w14:paraId="2FBA0B0E" w14:textId="24AFAA7E"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Without the early management and intervention, the number of Australians living with vision loss is estimated to grow to over 1 million by 2030. Vision loss is estimated to cost around $35,800 per person per annum, and therefore, economic costs associated with this increase in vision loss are substantial</w:t>
      </w:r>
      <w:r w:rsidRPr="00EA4392">
        <w:rPr>
          <w:rFonts w:eastAsia="Times New Roman" w:cs="Times New Roman"/>
          <w:sz w:val="22"/>
          <w:szCs w:val="24"/>
          <w:vertAlign w:val="superscript"/>
          <w:lang w:eastAsia="en-AU"/>
        </w:rPr>
        <w:footnoteReference w:id="4"/>
      </w:r>
      <w:r w:rsidRPr="00EA4392">
        <w:rPr>
          <w:rFonts w:eastAsia="Times New Roman" w:cs="Times New Roman"/>
          <w:sz w:val="22"/>
          <w:szCs w:val="24"/>
          <w:lang w:eastAsia="en-AU"/>
        </w:rPr>
        <w:t xml:space="preserve">. </w:t>
      </w:r>
    </w:p>
    <w:p w14:paraId="6774B60F" w14:textId="77777777" w:rsidR="00E34C68" w:rsidRDefault="00E34C68" w:rsidP="00EA4392">
      <w:pPr>
        <w:spacing w:before="120" w:after="120" w:line="264" w:lineRule="auto"/>
        <w:rPr>
          <w:rFonts w:eastAsia="Times New Roman" w:cs="Times New Roman"/>
          <w:sz w:val="22"/>
          <w:szCs w:val="24"/>
          <w:lang w:eastAsia="en-AU"/>
        </w:rPr>
      </w:pPr>
    </w:p>
    <w:p w14:paraId="0F46DB26" w14:textId="5E43BB49"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The time to act is now, and with a scheme already in place for Aboriginal and Torres Strait Islander chronic health checks, there is a template that can readily be adapted and applied for all other Australians. </w:t>
      </w:r>
    </w:p>
    <w:p w14:paraId="2C520A16"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Alongside seeking changes to MBS items, Vision 2020 Australia is contributing to work in complementary areas. For example:</w:t>
      </w:r>
    </w:p>
    <w:p w14:paraId="6259BA31" w14:textId="77777777" w:rsidR="00EA4392" w:rsidRPr="00EA4392" w:rsidRDefault="00EA4392" w:rsidP="00BE6FD0">
      <w:pPr>
        <w:numPr>
          <w:ilvl w:val="0"/>
          <w:numId w:val="23"/>
        </w:num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It is working with the Royal Australasian College of General Practice to expand the vision related content of its </w:t>
      </w:r>
      <w:hyperlink r:id="rId8" w:history="1">
        <w:r w:rsidRPr="00EA4392">
          <w:rPr>
            <w:rFonts w:eastAsia="Times New Roman" w:cs="Times New Roman"/>
            <w:color w:val="004B8D" w:themeColor="accent1"/>
            <w:sz w:val="22"/>
            <w:szCs w:val="24"/>
            <w:u w:val="single"/>
            <w:lang w:eastAsia="en-AU"/>
          </w:rPr>
          <w:t>Guidelines For Preventive Activities in General Practice</w:t>
        </w:r>
      </w:hyperlink>
      <w:r w:rsidRPr="00EA4392">
        <w:rPr>
          <w:rFonts w:eastAsia="Times New Roman" w:cs="Times New Roman"/>
          <w:sz w:val="22"/>
          <w:szCs w:val="24"/>
          <w:vertAlign w:val="superscript"/>
          <w:lang w:eastAsia="en-AU"/>
        </w:rPr>
        <w:footnoteReference w:id="5"/>
      </w:r>
      <w:r w:rsidRPr="00EA4392">
        <w:rPr>
          <w:rFonts w:eastAsia="Times New Roman" w:cs="Times New Roman"/>
          <w:sz w:val="22"/>
          <w:szCs w:val="24"/>
          <w:lang w:eastAsia="en-AU"/>
        </w:rPr>
        <w:t xml:space="preserve"> so that general practitioners have ready access to relevant, up to date information to support this practise change. </w:t>
      </w:r>
    </w:p>
    <w:p w14:paraId="2748DF97" w14:textId="77777777" w:rsidR="00EA4392" w:rsidRPr="00EA4392" w:rsidRDefault="00EA4392" w:rsidP="00BE6FD0">
      <w:pPr>
        <w:numPr>
          <w:ilvl w:val="0"/>
          <w:numId w:val="23"/>
        </w:num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It </w:t>
      </w:r>
      <w:proofErr w:type="gramStart"/>
      <w:r w:rsidRPr="00EA4392">
        <w:rPr>
          <w:rFonts w:eastAsia="Times New Roman" w:cs="Times New Roman"/>
          <w:sz w:val="22"/>
          <w:szCs w:val="24"/>
          <w:lang w:eastAsia="en-AU"/>
        </w:rPr>
        <w:t>is able to</w:t>
      </w:r>
      <w:proofErr w:type="gramEnd"/>
      <w:r w:rsidRPr="00EA4392">
        <w:rPr>
          <w:rFonts w:eastAsia="Times New Roman" w:cs="Times New Roman"/>
          <w:sz w:val="22"/>
          <w:szCs w:val="24"/>
          <w:lang w:eastAsia="en-AU"/>
        </w:rPr>
        <w:t xml:space="preserve"> facilitate access to free, online accredited eye health training for general practitioners (and other primary health care workers) to support the embedding of vision into chronic health care. </w:t>
      </w:r>
    </w:p>
    <w:p w14:paraId="0A0327C4" w14:textId="77777777" w:rsidR="00D066DA" w:rsidRDefault="00D066DA" w:rsidP="00EA4392">
      <w:pPr>
        <w:pStyle w:val="Heading1"/>
      </w:pPr>
      <w:r>
        <w:br w:type="page"/>
      </w:r>
    </w:p>
    <w:p w14:paraId="31B66C03" w14:textId="32C6A70B" w:rsidR="00EA4392" w:rsidRPr="00EA4392" w:rsidRDefault="00EA4392" w:rsidP="00EA4392">
      <w:pPr>
        <w:pStyle w:val="Heading1"/>
      </w:pPr>
      <w:bookmarkStart w:id="4" w:name="_Toc81403415"/>
      <w:r w:rsidRPr="00EA4392">
        <w:lastRenderedPageBreak/>
        <w:t>The Case for Change</w:t>
      </w:r>
      <w:bookmarkEnd w:id="4"/>
    </w:p>
    <w:p w14:paraId="3E5A85DB" w14:textId="77777777" w:rsidR="00EA4392" w:rsidRPr="00EA4392" w:rsidRDefault="00EA4392" w:rsidP="00EA4392">
      <w:pPr>
        <w:pStyle w:val="Heading2"/>
      </w:pPr>
      <w:bookmarkStart w:id="5" w:name="_Toc81403416"/>
      <w:r w:rsidRPr="00EA4392">
        <w:t>Chronic disease and vision loss</w:t>
      </w:r>
      <w:bookmarkEnd w:id="5"/>
    </w:p>
    <w:p w14:paraId="31CE0970" w14:textId="77777777" w:rsidR="00EA4392" w:rsidRPr="00EA4392" w:rsidRDefault="00EA4392" w:rsidP="00EA4392">
      <w:pPr>
        <w:spacing w:before="120" w:after="120" w:line="264" w:lineRule="auto"/>
        <w:rPr>
          <w:rFonts w:eastAsia="Arial" w:cs="Times New Roman"/>
          <w:sz w:val="22"/>
          <w:szCs w:val="24"/>
          <w:lang w:val="en-GB" w:eastAsia="en-AU"/>
        </w:rPr>
      </w:pPr>
      <w:r w:rsidRPr="00EA4392">
        <w:rPr>
          <w:rFonts w:eastAsia="Arial" w:cs="Times New Roman"/>
          <w:sz w:val="22"/>
          <w:szCs w:val="24"/>
          <w:lang w:val="en-GB" w:eastAsia="en-AU"/>
        </w:rPr>
        <w:t>Many people with chronic health conditions are at higher risk of vision loss, as:</w:t>
      </w:r>
    </w:p>
    <w:p w14:paraId="484CD039" w14:textId="77777777" w:rsidR="00EA4392" w:rsidRPr="00EA4392" w:rsidRDefault="00EA4392" w:rsidP="00BE6FD0">
      <w:pPr>
        <w:numPr>
          <w:ilvl w:val="0"/>
          <w:numId w:val="20"/>
        </w:numPr>
        <w:spacing w:before="120" w:after="120" w:line="264" w:lineRule="auto"/>
        <w:rPr>
          <w:rFonts w:eastAsia="Arial" w:cs="Times New Roman"/>
          <w:sz w:val="22"/>
          <w:szCs w:val="24"/>
          <w:lang w:val="en-GB" w:eastAsia="en-AU"/>
        </w:rPr>
      </w:pPr>
      <w:r w:rsidRPr="00EA4392">
        <w:rPr>
          <w:rFonts w:eastAsia="Arial" w:cs="Times New Roman"/>
          <w:sz w:val="22"/>
          <w:szCs w:val="24"/>
          <w:lang w:val="en-GB" w:eastAsia="en-AU"/>
        </w:rPr>
        <w:t>Risk factors are often common (for example smoking, extended UV exposure, diabetes, high blood pressure, poor nutrition); and</w:t>
      </w:r>
    </w:p>
    <w:p w14:paraId="45DCFFEF" w14:textId="77777777" w:rsidR="00EA4392" w:rsidRPr="00EA4392" w:rsidRDefault="00EA4392" w:rsidP="00BE6FD0">
      <w:pPr>
        <w:numPr>
          <w:ilvl w:val="0"/>
          <w:numId w:val="20"/>
        </w:numPr>
        <w:spacing w:before="120" w:after="120" w:line="264" w:lineRule="auto"/>
        <w:rPr>
          <w:rFonts w:eastAsia="Arial" w:cs="Times New Roman"/>
          <w:sz w:val="22"/>
          <w:szCs w:val="24"/>
          <w:lang w:val="en-GB" w:eastAsia="en-AU"/>
        </w:rPr>
      </w:pPr>
      <w:r w:rsidRPr="00EA4392">
        <w:rPr>
          <w:rFonts w:eastAsia="Arial" w:cs="Times New Roman"/>
          <w:sz w:val="22"/>
          <w:szCs w:val="24"/>
          <w:lang w:val="en-GB" w:eastAsia="en-AU"/>
        </w:rPr>
        <w:t>treatments of some chronic conditions can have significant ocular side effects (for example, systemic corticosteroid use can result in development of cataract or glaucoma).</w:t>
      </w:r>
    </w:p>
    <w:p w14:paraId="4A535CE0" w14:textId="1AF2F37D" w:rsidR="00EA4392" w:rsidRPr="00EA4392" w:rsidRDefault="00EA4392" w:rsidP="00EA4392">
      <w:pPr>
        <w:spacing w:before="120" w:after="120" w:line="264" w:lineRule="auto"/>
        <w:rPr>
          <w:rFonts w:eastAsia="Arial" w:cs="Times New Roman"/>
          <w:sz w:val="22"/>
          <w:szCs w:val="24"/>
          <w:lang w:val="en-GB" w:eastAsia="en-AU"/>
        </w:rPr>
      </w:pPr>
      <w:r w:rsidRPr="00EA4392">
        <w:rPr>
          <w:rFonts w:eastAsia="Arial" w:cs="Times New Roman"/>
          <w:sz w:val="22"/>
          <w:szCs w:val="24"/>
          <w:lang w:val="en-GB" w:eastAsia="en-AU"/>
        </w:rPr>
        <w:t xml:space="preserve">Furthermore, reduced vision can adversely impact an individual's capacity to manage their chronic disease. For example, a person living with diabetes is at a higher risk of developing permanent vision loss but if they do, it is likely to impact their mental health, social </w:t>
      </w:r>
      <w:proofErr w:type="gramStart"/>
      <w:r w:rsidRPr="00EA4392">
        <w:rPr>
          <w:rFonts w:eastAsia="Arial" w:cs="Times New Roman"/>
          <w:sz w:val="22"/>
          <w:szCs w:val="24"/>
          <w:lang w:val="en-GB" w:eastAsia="en-AU"/>
        </w:rPr>
        <w:t>wellbeing</w:t>
      </w:r>
      <w:proofErr w:type="gramEnd"/>
      <w:r w:rsidRPr="00EA4392">
        <w:rPr>
          <w:rFonts w:eastAsia="Arial" w:cs="Times New Roman"/>
          <w:sz w:val="22"/>
          <w:szCs w:val="24"/>
          <w:lang w:val="en-GB" w:eastAsia="en-AU"/>
        </w:rPr>
        <w:t xml:space="preserve"> and capacity to self-manage their condition (for example, medication management, ability to attend medical appointments).</w:t>
      </w:r>
    </w:p>
    <w:p w14:paraId="7B1ECA2C" w14:textId="77777777" w:rsidR="00EA4392" w:rsidRPr="00EA4392" w:rsidRDefault="00EA4392" w:rsidP="00EA4392">
      <w:pPr>
        <w:spacing w:before="120" w:after="120" w:line="264" w:lineRule="auto"/>
        <w:rPr>
          <w:rFonts w:eastAsia="Arial" w:cs="Times New Roman"/>
          <w:sz w:val="22"/>
          <w:szCs w:val="24"/>
          <w:lang w:val="en-GB" w:eastAsia="en-AU"/>
        </w:rPr>
      </w:pPr>
      <w:r w:rsidRPr="00EA4392">
        <w:rPr>
          <w:rFonts w:eastAsia="Arial" w:cs="Times New Roman"/>
          <w:sz w:val="22"/>
          <w:szCs w:val="24"/>
          <w:lang w:val="en-GB" w:eastAsia="en-AU"/>
        </w:rPr>
        <w:t>Vision impairment is also associated with:</w:t>
      </w:r>
    </w:p>
    <w:p w14:paraId="673F0127" w14:textId="7573B702" w:rsidR="00EA4392" w:rsidRPr="00EA4392" w:rsidRDefault="00EA4392" w:rsidP="00BE6FD0">
      <w:pPr>
        <w:numPr>
          <w:ilvl w:val="0"/>
          <w:numId w:val="17"/>
        </w:numPr>
        <w:spacing w:before="120" w:after="120" w:line="264" w:lineRule="auto"/>
        <w:rPr>
          <w:rFonts w:eastAsia="Arial" w:cs="Times New Roman"/>
          <w:sz w:val="22"/>
          <w:szCs w:val="24"/>
          <w:lang w:val="en-GB" w:eastAsia="en-AU"/>
        </w:rPr>
      </w:pPr>
      <w:r w:rsidRPr="00EA4392">
        <w:rPr>
          <w:rFonts w:eastAsia="Arial" w:cs="Times New Roman"/>
          <w:sz w:val="22"/>
          <w:szCs w:val="24"/>
          <w:lang w:val="en-GB" w:eastAsia="en-AU"/>
        </w:rPr>
        <w:t>A two-fold increase in the risk of falls (with a four to eight times risk of hip fracture), the leading cause of injury-related hospitalisations and death in Australia</w:t>
      </w:r>
    </w:p>
    <w:p w14:paraId="771C2914" w14:textId="77777777" w:rsidR="00EA4392" w:rsidRPr="00EA4392" w:rsidRDefault="00EA4392" w:rsidP="00BE6FD0">
      <w:pPr>
        <w:numPr>
          <w:ilvl w:val="0"/>
          <w:numId w:val="18"/>
        </w:numPr>
        <w:spacing w:before="120" w:after="120" w:line="264" w:lineRule="auto"/>
        <w:rPr>
          <w:rFonts w:eastAsiaTheme="minorEastAsia" w:cs="Times New Roman"/>
          <w:sz w:val="22"/>
          <w:szCs w:val="24"/>
          <w:lang w:eastAsia="en-AU"/>
        </w:rPr>
      </w:pPr>
      <w:r w:rsidRPr="00EA4392">
        <w:rPr>
          <w:rFonts w:eastAsia="Arial" w:cs="Times New Roman"/>
          <w:sz w:val="22"/>
          <w:szCs w:val="24"/>
          <w:lang w:val="en-GB" w:eastAsia="en-AU"/>
        </w:rPr>
        <w:t>Reduced mental health, with around 25 per cent of people with vision impairment experiencing depression, which increases with the severity of the vision loss</w:t>
      </w:r>
      <w:r w:rsidRPr="00EA4392">
        <w:rPr>
          <w:rFonts w:eastAsia="Arial" w:cs="Times New Roman"/>
          <w:sz w:val="22"/>
          <w:szCs w:val="24"/>
          <w:vertAlign w:val="superscript"/>
          <w:lang w:val="en-GB" w:eastAsia="en-AU"/>
        </w:rPr>
        <w:footnoteReference w:id="6"/>
      </w:r>
    </w:p>
    <w:p w14:paraId="0E60E465" w14:textId="77777777" w:rsidR="00EA4392" w:rsidRPr="00EA4392" w:rsidRDefault="00EA4392" w:rsidP="00BE6FD0">
      <w:pPr>
        <w:numPr>
          <w:ilvl w:val="0"/>
          <w:numId w:val="17"/>
        </w:numPr>
        <w:spacing w:before="120" w:after="120" w:line="264" w:lineRule="auto"/>
        <w:rPr>
          <w:rFonts w:eastAsia="Arial" w:cs="Times New Roman"/>
          <w:sz w:val="22"/>
          <w:szCs w:val="24"/>
          <w:lang w:val="en-GB" w:eastAsia="en-AU"/>
        </w:rPr>
      </w:pPr>
      <w:r w:rsidRPr="00EA4392">
        <w:rPr>
          <w:rFonts w:eastAsia="Arial" w:cs="Times New Roman"/>
          <w:sz w:val="22"/>
          <w:szCs w:val="24"/>
          <w:lang w:val="en-GB" w:eastAsia="en-AU"/>
        </w:rPr>
        <w:t>A two-fold increased risk of developing dementia</w:t>
      </w:r>
      <w:r w:rsidRPr="00EA4392">
        <w:rPr>
          <w:rFonts w:eastAsia="Arial" w:cs="Times New Roman"/>
          <w:sz w:val="22"/>
          <w:szCs w:val="24"/>
          <w:vertAlign w:val="superscript"/>
          <w:lang w:val="en-GB" w:eastAsia="en-AU"/>
        </w:rPr>
        <w:footnoteReference w:id="7"/>
      </w:r>
    </w:p>
    <w:p w14:paraId="3626C18C" w14:textId="77777777" w:rsidR="00EA4392" w:rsidRPr="00EA4392" w:rsidRDefault="00EA4392" w:rsidP="00BE6FD0">
      <w:pPr>
        <w:numPr>
          <w:ilvl w:val="0"/>
          <w:numId w:val="17"/>
        </w:numPr>
        <w:spacing w:before="120" w:after="120" w:line="264" w:lineRule="auto"/>
        <w:rPr>
          <w:rFonts w:eastAsia="Arial" w:cs="Times New Roman"/>
          <w:sz w:val="22"/>
          <w:szCs w:val="24"/>
          <w:lang w:val="en-GB" w:eastAsia="en-AU"/>
        </w:rPr>
      </w:pPr>
      <w:r w:rsidRPr="00EA4392">
        <w:rPr>
          <w:rFonts w:eastAsia="Arial" w:cs="Times New Roman"/>
          <w:sz w:val="22"/>
          <w:szCs w:val="24"/>
          <w:lang w:val="en-GB" w:eastAsia="en-AU"/>
        </w:rPr>
        <w:t>A two-fold increase in the risk of motor vehicle crashes for people with cataract</w:t>
      </w:r>
      <w:r w:rsidRPr="00EA4392">
        <w:rPr>
          <w:rFonts w:eastAsia="Arial" w:cs="Times New Roman"/>
          <w:sz w:val="22"/>
          <w:szCs w:val="24"/>
          <w:vertAlign w:val="superscript"/>
          <w:lang w:val="en-GB" w:eastAsia="en-AU"/>
        </w:rPr>
        <w:footnoteReference w:id="8"/>
      </w:r>
    </w:p>
    <w:p w14:paraId="07DBDCF2" w14:textId="77777777" w:rsidR="00EA4392" w:rsidRPr="00EA4392" w:rsidRDefault="00EA4392" w:rsidP="00BE6FD0">
      <w:pPr>
        <w:numPr>
          <w:ilvl w:val="0"/>
          <w:numId w:val="17"/>
        </w:numPr>
        <w:spacing w:before="120" w:after="120" w:line="264" w:lineRule="auto"/>
        <w:rPr>
          <w:rFonts w:eastAsia="Arial" w:cs="Times New Roman"/>
          <w:sz w:val="22"/>
          <w:szCs w:val="24"/>
          <w:lang w:val="en-GB" w:eastAsia="en-AU"/>
        </w:rPr>
      </w:pPr>
      <w:r w:rsidRPr="00EA4392">
        <w:rPr>
          <w:rFonts w:eastAsia="Arial" w:cs="Times New Roman"/>
          <w:sz w:val="22"/>
          <w:szCs w:val="24"/>
          <w:lang w:val="en-GB" w:eastAsia="en-AU"/>
        </w:rPr>
        <w:t>An estimated 58 per cent of working aged Australians who are blind or with low vision are unemployed. One third of those who are employed would like to work more hours, highlighting the issue of underemployment</w:t>
      </w:r>
      <w:r w:rsidRPr="00EA4392">
        <w:rPr>
          <w:rFonts w:eastAsia="Arial" w:cs="Times New Roman"/>
          <w:sz w:val="22"/>
          <w:szCs w:val="24"/>
          <w:vertAlign w:val="superscript"/>
          <w:lang w:val="en-GB" w:eastAsia="en-AU"/>
        </w:rPr>
        <w:footnoteReference w:id="9"/>
      </w:r>
    </w:p>
    <w:p w14:paraId="18B7F586" w14:textId="77777777" w:rsidR="00EA4392" w:rsidRPr="00EA4392" w:rsidRDefault="00EA4392" w:rsidP="00BE6FD0">
      <w:pPr>
        <w:numPr>
          <w:ilvl w:val="0"/>
          <w:numId w:val="17"/>
        </w:numPr>
        <w:spacing w:before="120" w:after="120" w:line="264" w:lineRule="auto"/>
        <w:rPr>
          <w:rFonts w:eastAsia="Arial" w:cs="Times New Roman"/>
          <w:sz w:val="22"/>
          <w:szCs w:val="24"/>
          <w:lang w:val="en-GB" w:eastAsia="en-AU"/>
        </w:rPr>
      </w:pPr>
      <w:r w:rsidRPr="00EA4392">
        <w:rPr>
          <w:rFonts w:eastAsia="Arial" w:cs="Times New Roman"/>
          <w:sz w:val="22"/>
          <w:szCs w:val="24"/>
          <w:lang w:val="en-GB" w:eastAsia="en-AU"/>
        </w:rPr>
        <w:t>Two out of three people will develop vision loss before they die.</w:t>
      </w:r>
    </w:p>
    <w:p w14:paraId="6452E5B4" w14:textId="77777777" w:rsidR="00EA4392" w:rsidRPr="00EA4392" w:rsidRDefault="00EA4392" w:rsidP="00EA4392">
      <w:pPr>
        <w:pStyle w:val="Heading2"/>
      </w:pPr>
      <w:bookmarkStart w:id="6" w:name="_Toc81403417"/>
      <w:r w:rsidRPr="00EA4392">
        <w:t>Adapting MBS items to incorporate vision testing</w:t>
      </w:r>
      <w:bookmarkEnd w:id="6"/>
    </w:p>
    <w:p w14:paraId="5B4303EE"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The Medicare Benefits Scheme (MBS) includes items for health checks of specified groups of people, including:</w:t>
      </w:r>
    </w:p>
    <w:p w14:paraId="34FA9DA0" w14:textId="77777777" w:rsidR="00EA4392" w:rsidRPr="00EA4392" w:rsidRDefault="00EA4392" w:rsidP="00BE6FD0">
      <w:pPr>
        <w:numPr>
          <w:ilvl w:val="0"/>
          <w:numId w:val="19"/>
        </w:num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Aboriginal and Torres Strait Islander people (MBS Item 715), and </w:t>
      </w:r>
    </w:p>
    <w:p w14:paraId="0D7DC6A4" w14:textId="77777777" w:rsidR="00EA4392" w:rsidRPr="00EA4392" w:rsidRDefault="00EA4392" w:rsidP="00BE6FD0">
      <w:pPr>
        <w:numPr>
          <w:ilvl w:val="0"/>
          <w:numId w:val="19"/>
        </w:num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people at risk of developing diabetes or other chronic disease (MBS Items 701, 703, 705 and 707).</w:t>
      </w:r>
      <w:r w:rsidRPr="00EA4392">
        <w:rPr>
          <w:rFonts w:eastAsia="Times New Roman" w:cs="Times New Roman"/>
          <w:sz w:val="22"/>
          <w:szCs w:val="24"/>
          <w:vertAlign w:val="superscript"/>
          <w:lang w:eastAsia="en-AU"/>
        </w:rPr>
        <w:footnoteReference w:id="10"/>
      </w:r>
      <w:r w:rsidRPr="00EA4392">
        <w:rPr>
          <w:rFonts w:eastAsia="Times New Roman" w:cs="Times New Roman"/>
          <w:sz w:val="22"/>
          <w:szCs w:val="24"/>
          <w:lang w:eastAsia="en-AU"/>
        </w:rPr>
        <w:t xml:space="preserve"> </w:t>
      </w:r>
    </w:p>
    <w:p w14:paraId="2D3A27F1"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Given the higher rate of vision loss associated with chronic conditions, the MBS description for item 715 was adapted some time ago to make assessment of vision a core requirement of the health assessment. </w:t>
      </w:r>
    </w:p>
    <w:p w14:paraId="2B1B2264"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lastRenderedPageBreak/>
        <w:t>It is now timely to extend these arrangements to all other Australians who have chronic health checks under MBS items 701, 703, 705 and 707 so that these people can also benefit from early identification and management of any potential vision issues</w:t>
      </w:r>
      <w:r w:rsidRPr="00EA4392">
        <w:rPr>
          <w:rFonts w:eastAsia="Times New Roman" w:cs="Times New Roman"/>
          <w:sz w:val="22"/>
          <w:szCs w:val="24"/>
          <w:vertAlign w:val="superscript"/>
          <w:lang w:eastAsia="en-AU"/>
        </w:rPr>
        <w:footnoteReference w:id="11"/>
      </w:r>
      <w:r w:rsidRPr="00EA4392">
        <w:rPr>
          <w:rFonts w:eastAsia="Times New Roman" w:cs="Times New Roman"/>
          <w:sz w:val="22"/>
          <w:szCs w:val="24"/>
          <w:lang w:eastAsia="en-AU"/>
        </w:rPr>
        <w:t xml:space="preserve">. </w:t>
      </w:r>
    </w:p>
    <w:p w14:paraId="4B032800"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This would involve amending item descriptors and other content to make checking of vision and/or asking about vision problems part of the mandatory tests performed. </w:t>
      </w:r>
    </w:p>
    <w:p w14:paraId="53226163" w14:textId="77777777" w:rsidR="00EA4392" w:rsidRPr="00EA4392" w:rsidRDefault="00EA4392" w:rsidP="00EA4392">
      <w:pPr>
        <w:spacing w:before="120" w:after="120" w:line="264" w:lineRule="auto"/>
        <w:rPr>
          <w:rFonts w:eastAsia="Arial" w:cs="Times New Roman"/>
          <w:sz w:val="22"/>
          <w:szCs w:val="24"/>
          <w:lang w:val="en-US" w:eastAsia="en-AU"/>
        </w:rPr>
      </w:pPr>
      <w:r w:rsidRPr="00EA4392">
        <w:rPr>
          <w:rFonts w:eastAsia="Arial" w:cs="Times New Roman"/>
          <w:sz w:val="22"/>
          <w:szCs w:val="24"/>
          <w:lang w:val="en-US" w:eastAsia="en-AU"/>
        </w:rPr>
        <w:t xml:space="preserve">Some 90 per cent of vision loss can be prevented or minimised by early identification and treatment of the underlying cause/s, and this simple inclusion would help ensure that where possible, vision problems are identified and addressed early. </w:t>
      </w:r>
    </w:p>
    <w:p w14:paraId="68FF078D" w14:textId="77777777" w:rsidR="00EA4392" w:rsidRPr="00EA4392" w:rsidRDefault="00EA4392" w:rsidP="00EA4392">
      <w:pPr>
        <w:pStyle w:val="Heading2"/>
      </w:pPr>
      <w:bookmarkStart w:id="7" w:name="_Toc81403418"/>
      <w:r w:rsidRPr="00EA4392">
        <w:t>Anticipated costs are minimal</w:t>
      </w:r>
      <w:bookmarkEnd w:id="7"/>
    </w:p>
    <w:p w14:paraId="1AD19E57"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Vision 2020 Australia has identified two potential sources of additional cost associated with implementation of the proposed changes: </w:t>
      </w:r>
    </w:p>
    <w:p w14:paraId="76B43B94" w14:textId="77777777" w:rsidR="00EA4392" w:rsidRPr="00EA4392" w:rsidRDefault="00EA4392" w:rsidP="00BE6FD0">
      <w:pPr>
        <w:numPr>
          <w:ilvl w:val="0"/>
          <w:numId w:val="22"/>
        </w:num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Cost to the MBS and government, arising from increased rates of optometric testing; and</w:t>
      </w:r>
    </w:p>
    <w:p w14:paraId="7B5EA402" w14:textId="77777777" w:rsidR="00EA4392" w:rsidRPr="00EA4392" w:rsidRDefault="00EA4392" w:rsidP="00BE6FD0">
      <w:pPr>
        <w:numPr>
          <w:ilvl w:val="0"/>
          <w:numId w:val="22"/>
        </w:num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Cost to general practice, associated with the time required to include the vision component in the assessment.</w:t>
      </w:r>
    </w:p>
    <w:p w14:paraId="7FE6A542"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Analysis of available data and consideration of the impacts of these changes in other settings suggests that both the above costs are negligible, and far outweighed by the benefits of preventing avoidable vision loss in the Australian population. </w:t>
      </w:r>
    </w:p>
    <w:p w14:paraId="4E5EC957" w14:textId="77777777" w:rsidR="00EA4392" w:rsidRPr="00EA4392" w:rsidRDefault="00EA4392" w:rsidP="00EA4392">
      <w:pPr>
        <w:keepNext/>
        <w:keepLines/>
        <w:spacing w:before="240" w:after="120"/>
        <w:outlineLvl w:val="2"/>
        <w:rPr>
          <w:rFonts w:asciiTheme="majorHAnsi" w:eastAsia="Times New Roman" w:hAnsiTheme="majorHAnsi" w:cs="Times New Roman"/>
          <w:b/>
          <w:bCs/>
          <w:i/>
          <w:iCs/>
          <w:sz w:val="22"/>
          <w:szCs w:val="24"/>
          <w:lang w:eastAsia="en-AU"/>
        </w:rPr>
      </w:pPr>
      <w:r w:rsidRPr="00EA4392">
        <w:rPr>
          <w:rFonts w:asciiTheme="majorHAnsi" w:eastAsia="Times New Roman" w:hAnsiTheme="majorHAnsi" w:cs="Times New Roman"/>
          <w:b/>
          <w:bCs/>
          <w:i/>
          <w:iCs/>
          <w:sz w:val="22"/>
          <w:szCs w:val="24"/>
          <w:lang w:eastAsia="en-AU"/>
        </w:rPr>
        <w:t>Changes in MBS demand</w:t>
      </w:r>
    </w:p>
    <w:p w14:paraId="255EEBE5"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If these changes were implemented, the desired impact would be an increase in the number of Australians seeking (or referred for) optometric eye examinations. </w:t>
      </w:r>
    </w:p>
    <w:p w14:paraId="458C6923"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To estimate the size of this increase, Vision 2020 Australia members examined:</w:t>
      </w:r>
    </w:p>
    <w:p w14:paraId="36AA3F5A" w14:textId="77777777" w:rsidR="00EA4392" w:rsidRPr="00EA4392" w:rsidRDefault="00EA4392" w:rsidP="00BE6FD0">
      <w:pPr>
        <w:numPr>
          <w:ilvl w:val="0"/>
          <w:numId w:val="21"/>
        </w:num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MBS data regarding comprehensive optometric examinations for the 45-64 and 65+ age </w:t>
      </w:r>
      <w:proofErr w:type="gramStart"/>
      <w:r w:rsidRPr="00EA4392">
        <w:rPr>
          <w:rFonts w:eastAsia="Times New Roman" w:cs="Times New Roman"/>
          <w:sz w:val="22"/>
          <w:szCs w:val="24"/>
          <w:lang w:eastAsia="en-AU"/>
        </w:rPr>
        <w:t>groups;</w:t>
      </w:r>
      <w:proofErr w:type="gramEnd"/>
    </w:p>
    <w:p w14:paraId="3C4D3F28" w14:textId="77777777" w:rsidR="00EA4392" w:rsidRPr="00EA4392" w:rsidRDefault="00EA4392" w:rsidP="00BE6FD0">
      <w:pPr>
        <w:numPr>
          <w:ilvl w:val="0"/>
          <w:numId w:val="21"/>
        </w:num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MBS data regarding chronic health checks across these age </w:t>
      </w:r>
      <w:proofErr w:type="gramStart"/>
      <w:r w:rsidRPr="00EA4392">
        <w:rPr>
          <w:rFonts w:eastAsia="Times New Roman" w:cs="Times New Roman"/>
          <w:sz w:val="22"/>
          <w:szCs w:val="24"/>
          <w:lang w:eastAsia="en-AU"/>
        </w:rPr>
        <w:t>groups;</w:t>
      </w:r>
      <w:proofErr w:type="gramEnd"/>
      <w:r w:rsidRPr="00EA4392">
        <w:rPr>
          <w:rFonts w:eastAsia="Times New Roman" w:cs="Times New Roman"/>
          <w:sz w:val="22"/>
          <w:szCs w:val="24"/>
          <w:lang w:eastAsia="en-AU"/>
        </w:rPr>
        <w:t xml:space="preserve"> </w:t>
      </w:r>
    </w:p>
    <w:p w14:paraId="7A7CA4BD" w14:textId="77777777" w:rsidR="00EA4392" w:rsidRPr="00EA4392" w:rsidRDefault="00EA4392" w:rsidP="00BE6FD0">
      <w:pPr>
        <w:numPr>
          <w:ilvl w:val="0"/>
          <w:numId w:val="21"/>
        </w:num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Data regarding prevalence rates of vision loss for the various age cohorts; and</w:t>
      </w:r>
    </w:p>
    <w:p w14:paraId="1AC8E43E" w14:textId="77777777" w:rsidR="00EA4392" w:rsidRPr="00EA4392" w:rsidRDefault="00EA4392" w:rsidP="00BE6FD0">
      <w:pPr>
        <w:numPr>
          <w:ilvl w:val="0"/>
          <w:numId w:val="21"/>
        </w:num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ABS data regarding population size across the various cohorts.</w:t>
      </w:r>
    </w:p>
    <w:p w14:paraId="27E8E27C"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The estimated unique number of optometric visits per annum is much higher than the number of chronic health checks being performed across the four chronic health items.</w:t>
      </w:r>
    </w:p>
    <w:p w14:paraId="2C457F39"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Given that between 48% and 68% of the age cohorts analysed were already receiving eye examinations, it was estimated that at most, a 0.7% increase in optometric visits might be generated by inclusion of vision testing in the chronic health check items (an estimated 35,000+ additional examinations per annum). The cost of delivering those additional examinations would be around $2.06M per annum (MBS rebate for comprehensive optometry examinations is $58.55). </w:t>
      </w:r>
    </w:p>
    <w:p w14:paraId="012E6ED3"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The estimated cost of vision loss per Australian is up to $35,800 per annum, hence the total cost of not incorporating this change (around $1.2 billion) far outweighs the cost of additional MBS items.</w:t>
      </w:r>
    </w:p>
    <w:p w14:paraId="6D5E4235"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Details of this analysis are provided at Attachment B. </w:t>
      </w:r>
    </w:p>
    <w:p w14:paraId="541ED5E1" w14:textId="77777777" w:rsidR="00EA4392" w:rsidRPr="00EA4392" w:rsidRDefault="00EA4392" w:rsidP="00EA4392">
      <w:pPr>
        <w:keepNext/>
        <w:keepLines/>
        <w:spacing w:before="240" w:after="120"/>
        <w:outlineLvl w:val="2"/>
        <w:rPr>
          <w:rFonts w:asciiTheme="majorHAnsi" w:eastAsia="Times New Roman" w:hAnsiTheme="majorHAnsi" w:cs="Times New Roman"/>
          <w:b/>
          <w:bCs/>
          <w:i/>
          <w:iCs/>
          <w:sz w:val="22"/>
          <w:szCs w:val="24"/>
          <w:lang w:eastAsia="en-AU"/>
        </w:rPr>
      </w:pPr>
      <w:r w:rsidRPr="00EA4392">
        <w:rPr>
          <w:rFonts w:asciiTheme="majorHAnsi" w:eastAsia="Times New Roman" w:hAnsiTheme="majorHAnsi" w:cs="Times New Roman"/>
          <w:b/>
          <w:bCs/>
          <w:i/>
          <w:iCs/>
          <w:sz w:val="22"/>
          <w:szCs w:val="24"/>
          <w:lang w:eastAsia="en-AU"/>
        </w:rPr>
        <w:lastRenderedPageBreak/>
        <w:t>Estimated minimal impact on general practitioner workload</w:t>
      </w:r>
    </w:p>
    <w:p w14:paraId="3DFFEA09"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GPs already experience significant time pressures, and it will be important that any change to core requirements of the chronic health checks do not result in significant increases in workload or time required to implement.</w:t>
      </w:r>
    </w:p>
    <w:p w14:paraId="1DC2382F" w14:textId="2E4E43DD" w:rsid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Fortunately, the experience of implementing similar changes to MBS item showed that such a change can be made with minimal impost on general practitioners, through use of simple and carefully framed questions that allow for rapid assessment of whether there may be a vision issue requiring further investigation.</w:t>
      </w:r>
    </w:p>
    <w:p w14:paraId="0B8E4370" w14:textId="3B586A35" w:rsidR="00BE6FD0" w:rsidRDefault="00BE6FD0" w:rsidP="00EA4392">
      <w:pPr>
        <w:spacing w:before="120" w:after="120" w:line="264" w:lineRule="auto"/>
        <w:rPr>
          <w:rFonts w:eastAsia="Times New Roman" w:cs="Times New Roman"/>
          <w:sz w:val="22"/>
          <w:szCs w:val="24"/>
          <w:lang w:eastAsia="en-AU"/>
        </w:rPr>
      </w:pPr>
    </w:p>
    <w:p w14:paraId="49EF3A10" w14:textId="7993443C" w:rsidR="00BE6FD0" w:rsidRDefault="00BE6FD0" w:rsidP="00EA4392">
      <w:pPr>
        <w:spacing w:before="120" w:after="120" w:line="264" w:lineRule="auto"/>
        <w:rPr>
          <w:rFonts w:eastAsia="Times New Roman" w:cs="Times New Roman"/>
          <w:sz w:val="22"/>
          <w:szCs w:val="24"/>
          <w:lang w:eastAsia="en-AU"/>
        </w:rPr>
      </w:pPr>
    </w:p>
    <w:p w14:paraId="21ADBC7E" w14:textId="2124E9A5" w:rsidR="00BE6FD0" w:rsidRDefault="00BE6FD0" w:rsidP="00EA4392">
      <w:pPr>
        <w:spacing w:before="120" w:after="120" w:line="264" w:lineRule="auto"/>
        <w:rPr>
          <w:rFonts w:eastAsia="Times New Roman" w:cs="Times New Roman"/>
          <w:sz w:val="22"/>
          <w:szCs w:val="24"/>
          <w:lang w:eastAsia="en-AU"/>
        </w:rPr>
      </w:pPr>
    </w:p>
    <w:p w14:paraId="59900A51" w14:textId="77777777" w:rsidR="00EA4392" w:rsidRDefault="00EA4392" w:rsidP="00EA4392">
      <w:pPr>
        <w:pStyle w:val="Heading1"/>
      </w:pPr>
      <w:r w:rsidRPr="00EA4392">
        <w:br w:type="page"/>
      </w:r>
      <w:bookmarkStart w:id="8" w:name="_Toc81403419"/>
      <w:r w:rsidRPr="00EA4392">
        <w:lastRenderedPageBreak/>
        <w:t>Appendix A</w:t>
      </w:r>
      <w:bookmarkEnd w:id="8"/>
    </w:p>
    <w:p w14:paraId="70826CAF" w14:textId="0848469C" w:rsidR="00EA4392" w:rsidRPr="00EA4392" w:rsidRDefault="00EA4392" w:rsidP="00EA4392">
      <w:pPr>
        <w:pStyle w:val="Heading2"/>
      </w:pPr>
      <w:bookmarkStart w:id="9" w:name="_Toc81403420"/>
      <w:r>
        <w:t>P</w:t>
      </w:r>
      <w:r w:rsidRPr="00EA4392">
        <w:t>eople for whom a general practitioner can claim for a general health assessment</w:t>
      </w:r>
      <w:bookmarkEnd w:id="9"/>
    </w:p>
    <w:p w14:paraId="56906717" w14:textId="77777777" w:rsidR="00EA4392" w:rsidRPr="00EA4392" w:rsidRDefault="00EA4392" w:rsidP="00EA4392">
      <w:pPr>
        <w:spacing w:before="120" w:after="120" w:line="264" w:lineRule="auto"/>
        <w:rPr>
          <w:rFonts w:ascii="Arial" w:eastAsia="Times New Roman" w:hAnsi="Arial" w:cs="Arial"/>
          <w:sz w:val="22"/>
          <w:szCs w:val="24"/>
          <w:lang w:val="en-US" w:eastAsia="en-AU"/>
        </w:rPr>
      </w:pPr>
      <w:r w:rsidRPr="00EA4392">
        <w:rPr>
          <w:rFonts w:ascii="Arial" w:eastAsia="Times New Roman" w:hAnsi="Arial" w:cs="Arial"/>
          <w:sz w:val="22"/>
          <w:szCs w:val="24"/>
          <w:lang w:val="en-US" w:eastAsia="en-AU"/>
        </w:rPr>
        <w:t>These general assessment items are made up of numerous elements, including undertaking or arranging examinations. The following categories of health assessments can be undertaken by a GP under these items:</w:t>
      </w:r>
    </w:p>
    <w:p w14:paraId="7CCFBE62" w14:textId="77777777" w:rsidR="00EA4392" w:rsidRPr="00EA4392" w:rsidRDefault="00EA4392" w:rsidP="00BE6FD0">
      <w:pPr>
        <w:numPr>
          <w:ilvl w:val="0"/>
          <w:numId w:val="16"/>
        </w:numPr>
        <w:spacing w:before="120" w:after="120" w:line="264" w:lineRule="auto"/>
        <w:rPr>
          <w:rFonts w:ascii="Arial" w:eastAsia="Times New Roman" w:hAnsi="Arial" w:cs="Arial"/>
          <w:sz w:val="22"/>
          <w:szCs w:val="24"/>
          <w:lang w:val="en-US" w:eastAsia="en-AU"/>
        </w:rPr>
      </w:pPr>
      <w:r w:rsidRPr="00EA4392">
        <w:rPr>
          <w:rFonts w:ascii="Arial" w:eastAsia="Times New Roman" w:hAnsi="Arial" w:cs="Arial"/>
          <w:sz w:val="22"/>
          <w:szCs w:val="24"/>
          <w:lang w:val="en-US" w:eastAsia="en-AU"/>
        </w:rPr>
        <w:t>people aged 40–49 at risk of type 2 diabetes</w:t>
      </w:r>
    </w:p>
    <w:p w14:paraId="48C7BE6C" w14:textId="77777777" w:rsidR="00EA4392" w:rsidRPr="00EA4392" w:rsidRDefault="00EA4392" w:rsidP="00BE6FD0">
      <w:pPr>
        <w:numPr>
          <w:ilvl w:val="0"/>
          <w:numId w:val="16"/>
        </w:numPr>
        <w:spacing w:before="120" w:after="120" w:line="264" w:lineRule="auto"/>
        <w:rPr>
          <w:rFonts w:ascii="Arial" w:eastAsia="Times New Roman" w:hAnsi="Arial" w:cs="Arial"/>
          <w:sz w:val="22"/>
          <w:szCs w:val="24"/>
          <w:lang w:val="en-US" w:eastAsia="en-AU"/>
        </w:rPr>
      </w:pPr>
      <w:r w:rsidRPr="00EA4392">
        <w:rPr>
          <w:rFonts w:ascii="Arial" w:eastAsia="Times New Roman" w:hAnsi="Arial" w:cs="Arial"/>
          <w:sz w:val="22"/>
          <w:szCs w:val="24"/>
          <w:lang w:val="en-US" w:eastAsia="en-AU"/>
        </w:rPr>
        <w:t>people aged 45-49 at risk of developing a chronic disease</w:t>
      </w:r>
    </w:p>
    <w:p w14:paraId="31E102C9" w14:textId="77777777" w:rsidR="00EA4392" w:rsidRPr="00EA4392" w:rsidRDefault="00EA4392" w:rsidP="00BE6FD0">
      <w:pPr>
        <w:numPr>
          <w:ilvl w:val="0"/>
          <w:numId w:val="16"/>
        </w:numPr>
        <w:spacing w:before="120" w:after="120" w:line="264" w:lineRule="auto"/>
        <w:rPr>
          <w:rFonts w:ascii="Arial" w:eastAsia="Times New Roman" w:hAnsi="Arial" w:cs="Arial"/>
          <w:sz w:val="22"/>
          <w:szCs w:val="24"/>
          <w:lang w:val="en-US" w:eastAsia="en-AU"/>
        </w:rPr>
      </w:pPr>
      <w:r w:rsidRPr="00EA4392">
        <w:rPr>
          <w:rFonts w:ascii="Arial" w:eastAsia="Times New Roman" w:hAnsi="Arial" w:cs="Arial"/>
          <w:sz w:val="22"/>
          <w:szCs w:val="24"/>
          <w:lang w:val="en-US" w:eastAsia="en-AU"/>
        </w:rPr>
        <w:t>people aged 75 and older</w:t>
      </w:r>
    </w:p>
    <w:p w14:paraId="2034B2C9" w14:textId="77777777" w:rsidR="00EA4392" w:rsidRPr="00EA4392" w:rsidRDefault="00EA4392" w:rsidP="00BE6FD0">
      <w:pPr>
        <w:numPr>
          <w:ilvl w:val="0"/>
          <w:numId w:val="16"/>
        </w:numPr>
        <w:spacing w:before="120" w:after="120" w:line="264" w:lineRule="auto"/>
        <w:rPr>
          <w:rFonts w:ascii="Arial" w:eastAsia="Times New Roman" w:hAnsi="Arial" w:cs="Arial"/>
          <w:sz w:val="22"/>
          <w:szCs w:val="24"/>
          <w:lang w:val="en-US" w:eastAsia="en-AU"/>
        </w:rPr>
      </w:pPr>
      <w:r w:rsidRPr="00EA4392">
        <w:rPr>
          <w:rFonts w:ascii="Arial" w:eastAsia="Times New Roman" w:hAnsi="Arial" w:cs="Arial"/>
          <w:sz w:val="22"/>
          <w:szCs w:val="24"/>
          <w:lang w:val="en-US" w:eastAsia="en-AU"/>
        </w:rPr>
        <w:t>people who permanently reside at an aged care facility</w:t>
      </w:r>
    </w:p>
    <w:p w14:paraId="20BB93BA" w14:textId="77777777" w:rsidR="00EA4392" w:rsidRPr="00EA4392" w:rsidRDefault="00EA4392" w:rsidP="00BE6FD0">
      <w:pPr>
        <w:numPr>
          <w:ilvl w:val="0"/>
          <w:numId w:val="16"/>
        </w:numPr>
        <w:spacing w:before="120" w:after="120" w:line="264" w:lineRule="auto"/>
        <w:rPr>
          <w:rFonts w:ascii="Arial" w:eastAsia="Times New Roman" w:hAnsi="Arial" w:cs="Arial"/>
          <w:sz w:val="22"/>
          <w:szCs w:val="24"/>
          <w:lang w:val="en-US" w:eastAsia="en-AU"/>
        </w:rPr>
      </w:pPr>
      <w:r w:rsidRPr="00EA4392">
        <w:rPr>
          <w:rFonts w:ascii="Arial" w:eastAsia="Times New Roman" w:hAnsi="Arial" w:cs="Arial"/>
          <w:sz w:val="22"/>
          <w:szCs w:val="24"/>
          <w:lang w:val="en-US" w:eastAsia="en-AU"/>
        </w:rPr>
        <w:t>people who have an intellectual disability</w:t>
      </w:r>
    </w:p>
    <w:p w14:paraId="571EFDB7" w14:textId="77777777" w:rsidR="00EA4392" w:rsidRPr="00EA4392" w:rsidRDefault="00EA4392" w:rsidP="00BE6FD0">
      <w:pPr>
        <w:numPr>
          <w:ilvl w:val="0"/>
          <w:numId w:val="16"/>
        </w:numPr>
        <w:spacing w:before="120" w:after="120" w:line="264" w:lineRule="auto"/>
        <w:rPr>
          <w:rFonts w:ascii="Arial" w:eastAsia="Times New Roman" w:hAnsi="Arial" w:cs="Arial"/>
          <w:sz w:val="22"/>
          <w:szCs w:val="24"/>
          <w:lang w:val="en-US" w:eastAsia="en-AU"/>
        </w:rPr>
      </w:pPr>
      <w:r w:rsidRPr="00EA4392">
        <w:rPr>
          <w:rFonts w:ascii="Arial" w:eastAsia="Times New Roman" w:hAnsi="Arial" w:cs="Arial"/>
          <w:sz w:val="22"/>
          <w:szCs w:val="24"/>
          <w:lang w:val="en-US" w:eastAsia="en-AU"/>
        </w:rPr>
        <w:t>some humanitarian entrants, and</w:t>
      </w:r>
    </w:p>
    <w:p w14:paraId="5AF849B1" w14:textId="77777777" w:rsidR="00EA4392" w:rsidRPr="00EA4392" w:rsidRDefault="00EA4392" w:rsidP="00BE6FD0">
      <w:pPr>
        <w:numPr>
          <w:ilvl w:val="0"/>
          <w:numId w:val="16"/>
        </w:numPr>
        <w:spacing w:before="120" w:after="120" w:line="264" w:lineRule="auto"/>
        <w:rPr>
          <w:rFonts w:ascii="Arial" w:eastAsia="Times New Roman" w:hAnsi="Arial" w:cs="Arial"/>
          <w:sz w:val="22"/>
          <w:szCs w:val="24"/>
          <w:lang w:val="en-US" w:eastAsia="en-AU"/>
        </w:rPr>
      </w:pPr>
      <w:r w:rsidRPr="00EA4392">
        <w:rPr>
          <w:rFonts w:ascii="Arial" w:eastAsia="Times New Roman" w:hAnsi="Arial" w:cs="Arial"/>
          <w:sz w:val="22"/>
          <w:szCs w:val="24"/>
          <w:lang w:val="en-US" w:eastAsia="en-AU"/>
        </w:rPr>
        <w:t>former serving members of the Australian Defence Force.</w:t>
      </w:r>
    </w:p>
    <w:p w14:paraId="023000F1"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ascii="Arial" w:eastAsia="Times New Roman" w:hAnsi="Arial" w:cs="Arial"/>
          <w:sz w:val="22"/>
          <w:szCs w:val="24"/>
          <w:lang w:val="en-US" w:eastAsia="en-AU"/>
        </w:rPr>
        <w:t xml:space="preserve">Assessment of ocular health is included in items 701, 703, 705 and 707 </w:t>
      </w:r>
      <w:r w:rsidRPr="00EA4392">
        <w:rPr>
          <w:rFonts w:ascii="Arial" w:eastAsia="Times New Roman" w:hAnsi="Arial" w:cs="Arial"/>
          <w:i/>
          <w:sz w:val="22"/>
          <w:szCs w:val="24"/>
          <w:lang w:val="en-US" w:eastAsia="en-AU"/>
        </w:rPr>
        <w:t>only</w:t>
      </w:r>
      <w:r w:rsidRPr="00EA4392">
        <w:rPr>
          <w:rFonts w:ascii="Arial" w:eastAsia="Times New Roman" w:hAnsi="Arial" w:cs="Arial"/>
          <w:sz w:val="22"/>
          <w:szCs w:val="24"/>
          <w:lang w:val="en-US" w:eastAsia="en-AU"/>
        </w:rPr>
        <w:t xml:space="preserve"> for people who have an intellectual disability, but not for any of the other identified groups.</w:t>
      </w:r>
    </w:p>
    <w:p w14:paraId="06A0D7C6" w14:textId="77777777" w:rsidR="00EA4392" w:rsidRPr="00EA4392" w:rsidRDefault="00EA4392" w:rsidP="00EA4392">
      <w:pPr>
        <w:spacing w:before="120" w:after="120" w:line="264" w:lineRule="auto"/>
        <w:rPr>
          <w:rFonts w:eastAsia="Times New Roman" w:cs="Times New Roman"/>
          <w:b/>
          <w:bCs/>
          <w:iCs/>
          <w:sz w:val="22"/>
          <w:szCs w:val="24"/>
          <w:lang w:eastAsia="en-AU"/>
        </w:rPr>
      </w:pPr>
      <w:r w:rsidRPr="00EA4392">
        <w:rPr>
          <w:rFonts w:eastAsia="Times New Roman" w:cs="Times New Roman"/>
          <w:b/>
          <w:bCs/>
          <w:iCs/>
          <w:sz w:val="22"/>
          <w:szCs w:val="24"/>
          <w:lang w:eastAsia="en-AU"/>
        </w:rPr>
        <w:br w:type="page"/>
      </w:r>
    </w:p>
    <w:p w14:paraId="024F4683" w14:textId="539A51E0" w:rsidR="00EA4392" w:rsidRDefault="00EA4392" w:rsidP="00EA4392">
      <w:pPr>
        <w:pStyle w:val="Heading1"/>
      </w:pPr>
      <w:bookmarkStart w:id="10" w:name="_Toc81403421"/>
      <w:r w:rsidRPr="00EA4392">
        <w:lastRenderedPageBreak/>
        <w:t>Appendix B</w:t>
      </w:r>
      <w:bookmarkEnd w:id="10"/>
    </w:p>
    <w:p w14:paraId="63827F93" w14:textId="68A02398" w:rsidR="00EA4392" w:rsidRPr="00EA4392" w:rsidRDefault="00EA4392" w:rsidP="00EA4392">
      <w:pPr>
        <w:pStyle w:val="Heading2"/>
      </w:pPr>
      <w:bookmarkStart w:id="11" w:name="_Toc81403422"/>
      <w:r>
        <w:t xml:space="preserve">Estimated impact on </w:t>
      </w:r>
      <w:r w:rsidRPr="00EA4392">
        <w:t>MBS services</w:t>
      </w:r>
      <w:bookmarkEnd w:id="11"/>
      <w:r w:rsidRPr="00EA4392">
        <w:t xml:space="preserve"> </w:t>
      </w:r>
    </w:p>
    <w:p w14:paraId="0F4B98DF" w14:textId="4236A58C"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To estimate the potential increase in demand for MBS services that might be driven by inclusion of mandatory vision testing in MBS chronic health check items, the Secretariat initially collated data regarding both sets of MBS data. This data, summarised in Table One, shows that the chronic health check items are performed at much lower rates than initial optometric eye examinations across both the 45-64 and 65+ age groups.</w:t>
      </w:r>
    </w:p>
    <w:p w14:paraId="62345E94" w14:textId="57E60762" w:rsidR="00EA4392" w:rsidRPr="00EA4392" w:rsidRDefault="00EA4392" w:rsidP="00EA4392">
      <w:pPr>
        <w:spacing w:before="120" w:after="120" w:line="264" w:lineRule="auto"/>
        <w:rPr>
          <w:rFonts w:eastAsia="Times New Roman" w:cs="Times New Roman"/>
          <w:b/>
          <w:sz w:val="22"/>
          <w:szCs w:val="24"/>
          <w:lang w:eastAsia="en-AU"/>
        </w:rPr>
      </w:pPr>
      <w:r w:rsidRPr="00EA4392">
        <w:rPr>
          <w:rFonts w:eastAsia="Times New Roman" w:cs="Times New Roman"/>
          <w:b/>
          <w:sz w:val="22"/>
          <w:szCs w:val="24"/>
          <w:lang w:eastAsia="en-AU"/>
        </w:rPr>
        <w:t xml:space="preserve">Table One – current level of MBS activity, chronic heath checks and initial optometric examinations </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8"/>
        <w:gridCol w:w="827"/>
        <w:gridCol w:w="936"/>
        <w:gridCol w:w="936"/>
        <w:gridCol w:w="936"/>
        <w:gridCol w:w="1022"/>
        <w:gridCol w:w="850"/>
        <w:gridCol w:w="1336"/>
        <w:gridCol w:w="1014"/>
        <w:gridCol w:w="1159"/>
      </w:tblGrid>
      <w:tr w:rsidR="00EA4392" w:rsidRPr="00EA4392" w14:paraId="6B850862" w14:textId="77777777" w:rsidTr="00FE4B75">
        <w:trPr>
          <w:trHeight w:val="823"/>
          <w:jc w:val="center"/>
        </w:trPr>
        <w:tc>
          <w:tcPr>
            <w:tcW w:w="838" w:type="dxa"/>
            <w:shd w:val="clear" w:color="000000" w:fill="000000"/>
            <w:vAlign w:val="bottom"/>
            <w:hideMark/>
          </w:tcPr>
          <w:p w14:paraId="0E1D3D1E"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w:t>
            </w:r>
          </w:p>
        </w:tc>
        <w:tc>
          <w:tcPr>
            <w:tcW w:w="827" w:type="dxa"/>
            <w:shd w:val="clear" w:color="000000" w:fill="000000"/>
            <w:vAlign w:val="bottom"/>
            <w:hideMark/>
          </w:tcPr>
          <w:p w14:paraId="12BE6A37"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MBS item 701</w:t>
            </w:r>
          </w:p>
        </w:tc>
        <w:tc>
          <w:tcPr>
            <w:tcW w:w="936" w:type="dxa"/>
            <w:shd w:val="clear" w:color="000000" w:fill="000000"/>
            <w:vAlign w:val="bottom"/>
            <w:hideMark/>
          </w:tcPr>
          <w:p w14:paraId="2DFD69F1"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MBS item 703</w:t>
            </w:r>
          </w:p>
        </w:tc>
        <w:tc>
          <w:tcPr>
            <w:tcW w:w="936" w:type="dxa"/>
            <w:shd w:val="clear" w:color="000000" w:fill="000000"/>
            <w:vAlign w:val="bottom"/>
            <w:hideMark/>
          </w:tcPr>
          <w:p w14:paraId="6DD61199"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MBS item 705</w:t>
            </w:r>
          </w:p>
        </w:tc>
        <w:tc>
          <w:tcPr>
            <w:tcW w:w="936" w:type="dxa"/>
            <w:shd w:val="clear" w:color="000000" w:fill="000000"/>
            <w:vAlign w:val="bottom"/>
            <w:hideMark/>
          </w:tcPr>
          <w:p w14:paraId="486E0C9F"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MBS item 707</w:t>
            </w:r>
          </w:p>
        </w:tc>
        <w:tc>
          <w:tcPr>
            <w:tcW w:w="1022" w:type="dxa"/>
            <w:shd w:val="clear" w:color="000000" w:fill="000000"/>
            <w:vAlign w:val="bottom"/>
            <w:hideMark/>
          </w:tcPr>
          <w:p w14:paraId="40E71B49"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Total chronic health checks</w:t>
            </w:r>
          </w:p>
        </w:tc>
        <w:tc>
          <w:tcPr>
            <w:tcW w:w="850" w:type="dxa"/>
            <w:shd w:val="clear" w:color="000000" w:fill="000000"/>
            <w:vAlign w:val="bottom"/>
            <w:hideMark/>
          </w:tcPr>
          <w:p w14:paraId="7D0E8C18"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xml:space="preserve">% </w:t>
            </w:r>
            <w:proofErr w:type="gramStart"/>
            <w:r w:rsidRPr="00EA4392">
              <w:rPr>
                <w:rFonts w:eastAsia="Times New Roman" w:cs="Times New Roman"/>
                <w:sz w:val="18"/>
                <w:szCs w:val="18"/>
                <w:lang w:eastAsia="en-AU"/>
              </w:rPr>
              <w:t>of</w:t>
            </w:r>
            <w:proofErr w:type="gramEnd"/>
            <w:r w:rsidRPr="00EA4392">
              <w:rPr>
                <w:rFonts w:eastAsia="Times New Roman" w:cs="Times New Roman"/>
                <w:sz w:val="18"/>
                <w:szCs w:val="18"/>
                <w:lang w:eastAsia="en-AU"/>
              </w:rPr>
              <w:t xml:space="preserve"> age cohort </w:t>
            </w:r>
            <w:proofErr w:type="spellStart"/>
            <w:r w:rsidRPr="00EA4392">
              <w:rPr>
                <w:rFonts w:eastAsia="Times New Roman" w:cs="Times New Roman"/>
                <w:sz w:val="18"/>
                <w:szCs w:val="18"/>
                <w:lang w:eastAsia="en-AU"/>
              </w:rPr>
              <w:t>receiv</w:t>
            </w:r>
            <w:r w:rsidRPr="00EA4392">
              <w:rPr>
                <w:rFonts w:eastAsia="Times New Roman" w:cs="Times New Roman"/>
                <w:sz w:val="18"/>
                <w:szCs w:val="18"/>
                <w:vertAlign w:val="superscript"/>
                <w:lang w:eastAsia="en-AU"/>
              </w:rPr>
              <w:t>ng</w:t>
            </w:r>
            <w:proofErr w:type="spellEnd"/>
            <w:r w:rsidRPr="00EA4392">
              <w:rPr>
                <w:rFonts w:eastAsia="Times New Roman" w:cs="Times New Roman"/>
                <w:sz w:val="18"/>
                <w:szCs w:val="18"/>
                <w:vertAlign w:val="superscript"/>
                <w:lang w:eastAsia="en-AU"/>
              </w:rPr>
              <w:t xml:space="preserve"> </w:t>
            </w:r>
            <w:r w:rsidRPr="00EA4392">
              <w:rPr>
                <w:rFonts w:eastAsia="Times New Roman" w:cs="Times New Roman"/>
                <w:sz w:val="18"/>
                <w:szCs w:val="18"/>
                <w:lang w:eastAsia="en-AU"/>
              </w:rPr>
              <w:t xml:space="preserve">chronic health check pa </w:t>
            </w:r>
          </w:p>
        </w:tc>
        <w:tc>
          <w:tcPr>
            <w:tcW w:w="1336" w:type="dxa"/>
            <w:shd w:val="clear" w:color="000000" w:fill="000000"/>
            <w:vAlign w:val="bottom"/>
            <w:hideMark/>
          </w:tcPr>
          <w:p w14:paraId="322166FC"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Average number of initial optometric eye exams pa</w:t>
            </w:r>
          </w:p>
        </w:tc>
        <w:tc>
          <w:tcPr>
            <w:tcW w:w="1014" w:type="dxa"/>
            <w:shd w:val="clear" w:color="000000" w:fill="000000"/>
            <w:vAlign w:val="bottom"/>
            <w:hideMark/>
          </w:tcPr>
          <w:p w14:paraId="4678AB89"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xml:space="preserve">% </w:t>
            </w:r>
            <w:proofErr w:type="gramStart"/>
            <w:r w:rsidRPr="00EA4392">
              <w:rPr>
                <w:rFonts w:eastAsia="Times New Roman" w:cs="Times New Roman"/>
                <w:sz w:val="18"/>
                <w:szCs w:val="18"/>
                <w:lang w:eastAsia="en-AU"/>
              </w:rPr>
              <w:t>of</w:t>
            </w:r>
            <w:proofErr w:type="gramEnd"/>
            <w:r w:rsidRPr="00EA4392">
              <w:rPr>
                <w:rFonts w:eastAsia="Times New Roman" w:cs="Times New Roman"/>
                <w:sz w:val="18"/>
                <w:szCs w:val="18"/>
                <w:lang w:eastAsia="en-AU"/>
              </w:rPr>
              <w:t xml:space="preserve"> age cohort receiving initial eye check (average pa)</w:t>
            </w:r>
          </w:p>
        </w:tc>
        <w:tc>
          <w:tcPr>
            <w:tcW w:w="1159" w:type="dxa"/>
            <w:shd w:val="clear" w:color="000000" w:fill="000000"/>
            <w:vAlign w:val="bottom"/>
            <w:hideMark/>
          </w:tcPr>
          <w:p w14:paraId="1E598661"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Population size</w:t>
            </w:r>
          </w:p>
        </w:tc>
      </w:tr>
      <w:tr w:rsidR="00EA4392" w:rsidRPr="00EA4392" w14:paraId="24234764" w14:textId="77777777" w:rsidTr="00FE4B75">
        <w:trPr>
          <w:trHeight w:val="514"/>
          <w:jc w:val="center"/>
        </w:trPr>
        <w:tc>
          <w:tcPr>
            <w:tcW w:w="838" w:type="dxa"/>
            <w:shd w:val="clear" w:color="000000" w:fill="FFFFFF"/>
            <w:vAlign w:val="bottom"/>
            <w:hideMark/>
          </w:tcPr>
          <w:p w14:paraId="699F8CF0" w14:textId="77777777" w:rsidR="00EA4392" w:rsidRPr="00EA4392" w:rsidRDefault="00EA4392" w:rsidP="00EA4392">
            <w:pPr>
              <w:spacing w:before="120" w:after="120" w:line="264" w:lineRule="auto"/>
              <w:rPr>
                <w:rFonts w:eastAsia="Times New Roman" w:cs="Times New Roman"/>
                <w:b/>
                <w:bCs/>
                <w:sz w:val="18"/>
                <w:szCs w:val="18"/>
                <w:lang w:eastAsia="en-AU"/>
              </w:rPr>
            </w:pPr>
            <w:r w:rsidRPr="00EA4392">
              <w:rPr>
                <w:rFonts w:eastAsia="Times New Roman" w:cs="Times New Roman"/>
                <w:b/>
                <w:bCs/>
                <w:sz w:val="18"/>
                <w:szCs w:val="18"/>
                <w:lang w:eastAsia="en-AU"/>
              </w:rPr>
              <w:t>age cohort</w:t>
            </w:r>
          </w:p>
        </w:tc>
        <w:tc>
          <w:tcPr>
            <w:tcW w:w="827" w:type="dxa"/>
            <w:shd w:val="clear" w:color="auto" w:fill="auto"/>
            <w:vAlign w:val="bottom"/>
            <w:hideMark/>
          </w:tcPr>
          <w:p w14:paraId="28EEBE69"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w:t>
            </w:r>
          </w:p>
        </w:tc>
        <w:tc>
          <w:tcPr>
            <w:tcW w:w="936" w:type="dxa"/>
            <w:shd w:val="clear" w:color="auto" w:fill="auto"/>
            <w:vAlign w:val="bottom"/>
            <w:hideMark/>
          </w:tcPr>
          <w:p w14:paraId="6A0B9935"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w:t>
            </w:r>
          </w:p>
        </w:tc>
        <w:tc>
          <w:tcPr>
            <w:tcW w:w="936" w:type="dxa"/>
            <w:shd w:val="clear" w:color="auto" w:fill="auto"/>
            <w:vAlign w:val="bottom"/>
            <w:hideMark/>
          </w:tcPr>
          <w:p w14:paraId="5A018901"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w:t>
            </w:r>
          </w:p>
        </w:tc>
        <w:tc>
          <w:tcPr>
            <w:tcW w:w="936" w:type="dxa"/>
            <w:shd w:val="clear" w:color="auto" w:fill="auto"/>
            <w:vAlign w:val="bottom"/>
            <w:hideMark/>
          </w:tcPr>
          <w:p w14:paraId="07F1C3C8"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w:t>
            </w:r>
          </w:p>
        </w:tc>
        <w:tc>
          <w:tcPr>
            <w:tcW w:w="1022" w:type="dxa"/>
            <w:shd w:val="clear" w:color="auto" w:fill="auto"/>
            <w:vAlign w:val="bottom"/>
            <w:hideMark/>
          </w:tcPr>
          <w:p w14:paraId="60F09005"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w:t>
            </w:r>
          </w:p>
        </w:tc>
        <w:tc>
          <w:tcPr>
            <w:tcW w:w="850" w:type="dxa"/>
            <w:shd w:val="clear" w:color="auto" w:fill="auto"/>
            <w:vAlign w:val="bottom"/>
            <w:hideMark/>
          </w:tcPr>
          <w:p w14:paraId="07D1EAC8"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w:t>
            </w:r>
          </w:p>
        </w:tc>
        <w:tc>
          <w:tcPr>
            <w:tcW w:w="1336" w:type="dxa"/>
            <w:shd w:val="clear" w:color="auto" w:fill="auto"/>
            <w:vAlign w:val="bottom"/>
            <w:hideMark/>
          </w:tcPr>
          <w:p w14:paraId="1B28C1C4"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w:t>
            </w:r>
          </w:p>
        </w:tc>
        <w:tc>
          <w:tcPr>
            <w:tcW w:w="1014" w:type="dxa"/>
            <w:shd w:val="clear" w:color="auto" w:fill="auto"/>
            <w:vAlign w:val="bottom"/>
            <w:hideMark/>
          </w:tcPr>
          <w:p w14:paraId="059E3E25"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w:t>
            </w:r>
          </w:p>
        </w:tc>
        <w:tc>
          <w:tcPr>
            <w:tcW w:w="1159" w:type="dxa"/>
            <w:shd w:val="clear" w:color="auto" w:fill="auto"/>
            <w:vAlign w:val="bottom"/>
            <w:hideMark/>
          </w:tcPr>
          <w:p w14:paraId="22C2BEED"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w:t>
            </w:r>
          </w:p>
        </w:tc>
      </w:tr>
      <w:tr w:rsidR="00EA4392" w:rsidRPr="00EA4392" w14:paraId="48EF8CEA" w14:textId="77777777" w:rsidTr="00FE4B75">
        <w:trPr>
          <w:trHeight w:val="244"/>
          <w:jc w:val="center"/>
        </w:trPr>
        <w:tc>
          <w:tcPr>
            <w:tcW w:w="838" w:type="dxa"/>
            <w:shd w:val="clear" w:color="auto" w:fill="auto"/>
            <w:vAlign w:val="bottom"/>
            <w:hideMark/>
          </w:tcPr>
          <w:p w14:paraId="78769121"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45-65</w:t>
            </w:r>
          </w:p>
        </w:tc>
        <w:tc>
          <w:tcPr>
            <w:tcW w:w="827" w:type="dxa"/>
            <w:shd w:val="clear" w:color="auto" w:fill="auto"/>
            <w:vAlign w:val="bottom"/>
            <w:hideMark/>
          </w:tcPr>
          <w:p w14:paraId="77AA9BF7"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11,864</w:t>
            </w:r>
          </w:p>
        </w:tc>
        <w:tc>
          <w:tcPr>
            <w:tcW w:w="936" w:type="dxa"/>
            <w:shd w:val="clear" w:color="auto" w:fill="auto"/>
            <w:vAlign w:val="bottom"/>
            <w:hideMark/>
          </w:tcPr>
          <w:p w14:paraId="672E5208"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48,514</w:t>
            </w:r>
          </w:p>
        </w:tc>
        <w:tc>
          <w:tcPr>
            <w:tcW w:w="936" w:type="dxa"/>
            <w:shd w:val="clear" w:color="auto" w:fill="auto"/>
            <w:vAlign w:val="bottom"/>
            <w:hideMark/>
          </w:tcPr>
          <w:p w14:paraId="770DEE1F"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39,175</w:t>
            </w:r>
          </w:p>
        </w:tc>
        <w:tc>
          <w:tcPr>
            <w:tcW w:w="936" w:type="dxa"/>
            <w:shd w:val="clear" w:color="auto" w:fill="auto"/>
            <w:vAlign w:val="bottom"/>
            <w:hideMark/>
          </w:tcPr>
          <w:p w14:paraId="6C7506B5"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29,192</w:t>
            </w:r>
          </w:p>
        </w:tc>
        <w:tc>
          <w:tcPr>
            <w:tcW w:w="1022" w:type="dxa"/>
            <w:shd w:val="clear" w:color="auto" w:fill="auto"/>
            <w:vAlign w:val="bottom"/>
            <w:hideMark/>
          </w:tcPr>
          <w:p w14:paraId="608F39E0"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128,745</w:t>
            </w:r>
          </w:p>
        </w:tc>
        <w:tc>
          <w:tcPr>
            <w:tcW w:w="850" w:type="dxa"/>
            <w:shd w:val="clear" w:color="auto" w:fill="auto"/>
            <w:vAlign w:val="bottom"/>
            <w:hideMark/>
          </w:tcPr>
          <w:p w14:paraId="71AC2468"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3%</w:t>
            </w:r>
          </w:p>
        </w:tc>
        <w:tc>
          <w:tcPr>
            <w:tcW w:w="1336" w:type="dxa"/>
            <w:shd w:val="clear" w:color="auto" w:fill="auto"/>
            <w:vAlign w:val="bottom"/>
            <w:hideMark/>
          </w:tcPr>
          <w:p w14:paraId="73FDA868"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3,113,587*</w:t>
            </w:r>
          </w:p>
        </w:tc>
        <w:tc>
          <w:tcPr>
            <w:tcW w:w="1014" w:type="dxa"/>
            <w:shd w:val="clear" w:color="auto" w:fill="auto"/>
            <w:vAlign w:val="bottom"/>
            <w:hideMark/>
          </w:tcPr>
          <w:p w14:paraId="65329D15"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68%</w:t>
            </w:r>
          </w:p>
        </w:tc>
        <w:tc>
          <w:tcPr>
            <w:tcW w:w="1159" w:type="dxa"/>
            <w:shd w:val="clear" w:color="auto" w:fill="auto"/>
            <w:vAlign w:val="bottom"/>
            <w:hideMark/>
          </w:tcPr>
          <w:p w14:paraId="61C11FD8"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4,607,505</w:t>
            </w:r>
          </w:p>
        </w:tc>
      </w:tr>
      <w:tr w:rsidR="00EA4392" w:rsidRPr="00EA4392" w14:paraId="2B68CC1C" w14:textId="77777777" w:rsidTr="00FE4B75">
        <w:trPr>
          <w:trHeight w:val="244"/>
          <w:jc w:val="center"/>
        </w:trPr>
        <w:tc>
          <w:tcPr>
            <w:tcW w:w="838" w:type="dxa"/>
            <w:shd w:val="clear" w:color="auto" w:fill="auto"/>
            <w:vAlign w:val="bottom"/>
            <w:hideMark/>
          </w:tcPr>
          <w:p w14:paraId="28FDD8FB"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65+</w:t>
            </w:r>
          </w:p>
        </w:tc>
        <w:tc>
          <w:tcPr>
            <w:tcW w:w="827" w:type="dxa"/>
            <w:shd w:val="clear" w:color="auto" w:fill="auto"/>
            <w:vAlign w:val="bottom"/>
            <w:hideMark/>
          </w:tcPr>
          <w:p w14:paraId="2D79E535"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11,255</w:t>
            </w:r>
          </w:p>
        </w:tc>
        <w:tc>
          <w:tcPr>
            <w:tcW w:w="936" w:type="dxa"/>
            <w:shd w:val="clear" w:color="auto" w:fill="auto"/>
            <w:vAlign w:val="bottom"/>
            <w:hideMark/>
          </w:tcPr>
          <w:p w14:paraId="385AFBCB"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111,082</w:t>
            </w:r>
          </w:p>
        </w:tc>
        <w:tc>
          <w:tcPr>
            <w:tcW w:w="936" w:type="dxa"/>
            <w:shd w:val="clear" w:color="auto" w:fill="auto"/>
            <w:vAlign w:val="bottom"/>
            <w:hideMark/>
          </w:tcPr>
          <w:p w14:paraId="157A76E9"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179,877</w:t>
            </w:r>
          </w:p>
        </w:tc>
        <w:tc>
          <w:tcPr>
            <w:tcW w:w="936" w:type="dxa"/>
            <w:shd w:val="clear" w:color="auto" w:fill="auto"/>
            <w:vAlign w:val="bottom"/>
            <w:hideMark/>
          </w:tcPr>
          <w:p w14:paraId="16308C28"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321,077</w:t>
            </w:r>
          </w:p>
        </w:tc>
        <w:tc>
          <w:tcPr>
            <w:tcW w:w="1022" w:type="dxa"/>
            <w:shd w:val="clear" w:color="auto" w:fill="auto"/>
            <w:vAlign w:val="bottom"/>
            <w:hideMark/>
          </w:tcPr>
          <w:p w14:paraId="5F7DA742"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623,291</w:t>
            </w:r>
          </w:p>
        </w:tc>
        <w:tc>
          <w:tcPr>
            <w:tcW w:w="850" w:type="dxa"/>
            <w:shd w:val="clear" w:color="auto" w:fill="auto"/>
            <w:vAlign w:val="bottom"/>
            <w:hideMark/>
          </w:tcPr>
          <w:p w14:paraId="728668D0"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15%</w:t>
            </w:r>
          </w:p>
        </w:tc>
        <w:tc>
          <w:tcPr>
            <w:tcW w:w="1336" w:type="dxa"/>
            <w:shd w:val="clear" w:color="auto" w:fill="auto"/>
            <w:vAlign w:val="bottom"/>
            <w:hideMark/>
          </w:tcPr>
          <w:p w14:paraId="296FEB99"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1,926,811**</w:t>
            </w:r>
          </w:p>
        </w:tc>
        <w:tc>
          <w:tcPr>
            <w:tcW w:w="1014" w:type="dxa"/>
            <w:shd w:val="clear" w:color="auto" w:fill="auto"/>
            <w:vAlign w:val="bottom"/>
            <w:hideMark/>
          </w:tcPr>
          <w:p w14:paraId="45AE261F"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48%</w:t>
            </w:r>
          </w:p>
        </w:tc>
        <w:tc>
          <w:tcPr>
            <w:tcW w:w="1159" w:type="dxa"/>
            <w:shd w:val="clear" w:color="auto" w:fill="auto"/>
            <w:vAlign w:val="bottom"/>
            <w:hideMark/>
          </w:tcPr>
          <w:p w14:paraId="44F94F6C"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4,040,130</w:t>
            </w:r>
          </w:p>
        </w:tc>
      </w:tr>
      <w:tr w:rsidR="00EA4392" w:rsidRPr="00EA4392" w14:paraId="109F7AAA" w14:textId="77777777" w:rsidTr="00FE4B75">
        <w:trPr>
          <w:trHeight w:val="244"/>
          <w:jc w:val="center"/>
        </w:trPr>
        <w:tc>
          <w:tcPr>
            <w:tcW w:w="838" w:type="dxa"/>
            <w:shd w:val="clear" w:color="000000" w:fill="DDEBF7"/>
            <w:vAlign w:val="bottom"/>
            <w:hideMark/>
          </w:tcPr>
          <w:p w14:paraId="6E6B1AE5" w14:textId="77777777" w:rsidR="00EA4392" w:rsidRPr="00EA4392" w:rsidRDefault="00EA4392" w:rsidP="00EA4392">
            <w:pPr>
              <w:spacing w:before="120" w:after="120" w:line="264" w:lineRule="auto"/>
              <w:rPr>
                <w:rFonts w:eastAsia="Times New Roman" w:cs="Times New Roman"/>
                <w:i/>
                <w:iCs/>
                <w:sz w:val="18"/>
                <w:szCs w:val="18"/>
                <w:lang w:eastAsia="en-AU"/>
              </w:rPr>
            </w:pPr>
            <w:r w:rsidRPr="00EA4392">
              <w:rPr>
                <w:rFonts w:eastAsia="Times New Roman" w:cs="Times New Roman"/>
                <w:i/>
                <w:iCs/>
                <w:sz w:val="18"/>
                <w:szCs w:val="18"/>
                <w:lang w:eastAsia="en-AU"/>
              </w:rPr>
              <w:t>Totals</w:t>
            </w:r>
          </w:p>
        </w:tc>
        <w:tc>
          <w:tcPr>
            <w:tcW w:w="827" w:type="dxa"/>
            <w:shd w:val="clear" w:color="000000" w:fill="DDEBF7"/>
            <w:vAlign w:val="bottom"/>
            <w:hideMark/>
          </w:tcPr>
          <w:p w14:paraId="1DF3C365" w14:textId="77777777" w:rsidR="00EA4392" w:rsidRPr="00EA4392" w:rsidRDefault="00EA4392" w:rsidP="00EA4392">
            <w:pPr>
              <w:spacing w:before="120" w:after="120" w:line="264" w:lineRule="auto"/>
              <w:rPr>
                <w:rFonts w:eastAsia="Times New Roman" w:cs="Times New Roman"/>
                <w:i/>
                <w:iCs/>
                <w:sz w:val="18"/>
                <w:szCs w:val="18"/>
                <w:lang w:eastAsia="en-AU"/>
              </w:rPr>
            </w:pPr>
            <w:r w:rsidRPr="00EA4392">
              <w:rPr>
                <w:rFonts w:eastAsia="Times New Roman" w:cs="Times New Roman"/>
                <w:i/>
                <w:iCs/>
                <w:sz w:val="18"/>
                <w:szCs w:val="18"/>
                <w:lang w:eastAsia="en-AU"/>
              </w:rPr>
              <w:t> </w:t>
            </w:r>
          </w:p>
        </w:tc>
        <w:tc>
          <w:tcPr>
            <w:tcW w:w="936" w:type="dxa"/>
            <w:shd w:val="clear" w:color="000000" w:fill="DDEBF7"/>
            <w:vAlign w:val="bottom"/>
            <w:hideMark/>
          </w:tcPr>
          <w:p w14:paraId="2B9BCB71" w14:textId="77777777" w:rsidR="00EA4392" w:rsidRPr="00EA4392" w:rsidRDefault="00EA4392" w:rsidP="00EA4392">
            <w:pPr>
              <w:spacing w:before="120" w:after="120" w:line="264" w:lineRule="auto"/>
              <w:rPr>
                <w:rFonts w:eastAsia="Times New Roman" w:cs="Times New Roman"/>
                <w:i/>
                <w:iCs/>
                <w:sz w:val="18"/>
                <w:szCs w:val="18"/>
                <w:lang w:eastAsia="en-AU"/>
              </w:rPr>
            </w:pPr>
            <w:r w:rsidRPr="00EA4392">
              <w:rPr>
                <w:rFonts w:eastAsia="Times New Roman" w:cs="Times New Roman"/>
                <w:i/>
                <w:iCs/>
                <w:sz w:val="18"/>
                <w:szCs w:val="18"/>
                <w:lang w:eastAsia="en-AU"/>
              </w:rPr>
              <w:t> </w:t>
            </w:r>
          </w:p>
        </w:tc>
        <w:tc>
          <w:tcPr>
            <w:tcW w:w="936" w:type="dxa"/>
            <w:shd w:val="clear" w:color="000000" w:fill="DDEBF7"/>
            <w:vAlign w:val="bottom"/>
            <w:hideMark/>
          </w:tcPr>
          <w:p w14:paraId="12D8680C" w14:textId="77777777" w:rsidR="00EA4392" w:rsidRPr="00EA4392" w:rsidRDefault="00EA4392" w:rsidP="00EA4392">
            <w:pPr>
              <w:spacing w:before="120" w:after="120" w:line="264" w:lineRule="auto"/>
              <w:rPr>
                <w:rFonts w:eastAsia="Times New Roman" w:cs="Times New Roman"/>
                <w:i/>
                <w:iCs/>
                <w:sz w:val="18"/>
                <w:szCs w:val="18"/>
                <w:lang w:eastAsia="en-AU"/>
              </w:rPr>
            </w:pPr>
            <w:r w:rsidRPr="00EA4392">
              <w:rPr>
                <w:rFonts w:eastAsia="Times New Roman" w:cs="Times New Roman"/>
                <w:i/>
                <w:iCs/>
                <w:sz w:val="18"/>
                <w:szCs w:val="18"/>
                <w:lang w:eastAsia="en-AU"/>
              </w:rPr>
              <w:t> </w:t>
            </w:r>
          </w:p>
        </w:tc>
        <w:tc>
          <w:tcPr>
            <w:tcW w:w="936" w:type="dxa"/>
            <w:shd w:val="clear" w:color="000000" w:fill="DDEBF7"/>
            <w:vAlign w:val="bottom"/>
            <w:hideMark/>
          </w:tcPr>
          <w:p w14:paraId="131C5E77" w14:textId="77777777" w:rsidR="00EA4392" w:rsidRPr="00EA4392" w:rsidRDefault="00EA4392" w:rsidP="00EA4392">
            <w:pPr>
              <w:spacing w:before="120" w:after="120" w:line="264" w:lineRule="auto"/>
              <w:rPr>
                <w:rFonts w:eastAsia="Times New Roman" w:cs="Times New Roman"/>
                <w:i/>
                <w:iCs/>
                <w:sz w:val="18"/>
                <w:szCs w:val="18"/>
                <w:lang w:eastAsia="en-AU"/>
              </w:rPr>
            </w:pPr>
            <w:r w:rsidRPr="00EA4392">
              <w:rPr>
                <w:rFonts w:eastAsia="Times New Roman" w:cs="Times New Roman"/>
                <w:i/>
                <w:iCs/>
                <w:sz w:val="18"/>
                <w:szCs w:val="18"/>
                <w:lang w:eastAsia="en-AU"/>
              </w:rPr>
              <w:t> </w:t>
            </w:r>
          </w:p>
        </w:tc>
        <w:tc>
          <w:tcPr>
            <w:tcW w:w="1022" w:type="dxa"/>
            <w:shd w:val="clear" w:color="000000" w:fill="DDEBF7"/>
            <w:vAlign w:val="bottom"/>
            <w:hideMark/>
          </w:tcPr>
          <w:p w14:paraId="4260C75C" w14:textId="77777777" w:rsidR="00EA4392" w:rsidRPr="00EA4392" w:rsidRDefault="00EA4392" w:rsidP="00EA4392">
            <w:pPr>
              <w:spacing w:before="120" w:after="120" w:line="264" w:lineRule="auto"/>
              <w:rPr>
                <w:rFonts w:eastAsia="Times New Roman" w:cs="Times New Roman"/>
                <w:i/>
                <w:iCs/>
                <w:sz w:val="18"/>
                <w:szCs w:val="18"/>
                <w:lang w:eastAsia="en-AU"/>
              </w:rPr>
            </w:pPr>
            <w:r w:rsidRPr="00EA4392">
              <w:rPr>
                <w:rFonts w:eastAsia="Times New Roman" w:cs="Times New Roman"/>
                <w:i/>
                <w:iCs/>
                <w:sz w:val="18"/>
                <w:szCs w:val="18"/>
                <w:lang w:eastAsia="en-AU"/>
              </w:rPr>
              <w:t>752,036</w:t>
            </w:r>
          </w:p>
        </w:tc>
        <w:tc>
          <w:tcPr>
            <w:tcW w:w="850" w:type="dxa"/>
            <w:shd w:val="clear" w:color="000000" w:fill="DDEBF7"/>
            <w:vAlign w:val="bottom"/>
            <w:hideMark/>
          </w:tcPr>
          <w:p w14:paraId="15CCDCE1" w14:textId="77777777" w:rsidR="00EA4392" w:rsidRPr="00EA4392" w:rsidRDefault="00EA4392" w:rsidP="00EA4392">
            <w:pPr>
              <w:spacing w:before="120" w:after="120" w:line="264" w:lineRule="auto"/>
              <w:rPr>
                <w:rFonts w:eastAsia="Times New Roman" w:cs="Times New Roman"/>
                <w:i/>
                <w:iCs/>
                <w:sz w:val="18"/>
                <w:szCs w:val="18"/>
                <w:lang w:eastAsia="en-AU"/>
              </w:rPr>
            </w:pPr>
            <w:r w:rsidRPr="00EA4392">
              <w:rPr>
                <w:rFonts w:eastAsia="Times New Roman" w:cs="Times New Roman"/>
                <w:i/>
                <w:iCs/>
                <w:sz w:val="18"/>
                <w:szCs w:val="18"/>
                <w:lang w:eastAsia="en-AU"/>
              </w:rPr>
              <w:t> </w:t>
            </w:r>
          </w:p>
        </w:tc>
        <w:tc>
          <w:tcPr>
            <w:tcW w:w="1336" w:type="dxa"/>
            <w:shd w:val="clear" w:color="000000" w:fill="DDEBF7"/>
            <w:vAlign w:val="bottom"/>
            <w:hideMark/>
          </w:tcPr>
          <w:p w14:paraId="6F427003" w14:textId="77777777" w:rsidR="00EA4392" w:rsidRPr="00EA4392" w:rsidRDefault="00EA4392" w:rsidP="00EA4392">
            <w:pPr>
              <w:spacing w:before="120" w:after="120" w:line="264" w:lineRule="auto"/>
              <w:rPr>
                <w:rFonts w:eastAsia="Times New Roman" w:cs="Times New Roman"/>
                <w:i/>
                <w:iCs/>
                <w:sz w:val="18"/>
                <w:szCs w:val="18"/>
                <w:lang w:eastAsia="en-AU"/>
              </w:rPr>
            </w:pPr>
            <w:r w:rsidRPr="00EA4392">
              <w:rPr>
                <w:rFonts w:eastAsia="Times New Roman" w:cs="Times New Roman"/>
                <w:i/>
                <w:iCs/>
                <w:sz w:val="18"/>
                <w:szCs w:val="18"/>
                <w:lang w:eastAsia="en-AU"/>
              </w:rPr>
              <w:t>5,040,398</w:t>
            </w:r>
          </w:p>
        </w:tc>
        <w:tc>
          <w:tcPr>
            <w:tcW w:w="1014" w:type="dxa"/>
            <w:shd w:val="clear" w:color="000000" w:fill="DDEBF7"/>
            <w:vAlign w:val="bottom"/>
            <w:hideMark/>
          </w:tcPr>
          <w:p w14:paraId="62D01FD8" w14:textId="77777777" w:rsidR="00EA4392" w:rsidRPr="00EA4392" w:rsidRDefault="00EA4392" w:rsidP="00EA4392">
            <w:pPr>
              <w:spacing w:before="120" w:after="120" w:line="264" w:lineRule="auto"/>
              <w:rPr>
                <w:rFonts w:eastAsia="Times New Roman" w:cs="Times New Roman"/>
                <w:i/>
                <w:iCs/>
                <w:sz w:val="18"/>
                <w:szCs w:val="18"/>
                <w:lang w:eastAsia="en-AU"/>
              </w:rPr>
            </w:pPr>
            <w:r w:rsidRPr="00EA4392">
              <w:rPr>
                <w:rFonts w:eastAsia="Times New Roman" w:cs="Times New Roman"/>
                <w:i/>
                <w:iCs/>
                <w:sz w:val="18"/>
                <w:szCs w:val="18"/>
                <w:lang w:eastAsia="en-AU"/>
              </w:rPr>
              <w:t> </w:t>
            </w:r>
          </w:p>
        </w:tc>
        <w:tc>
          <w:tcPr>
            <w:tcW w:w="1159" w:type="dxa"/>
            <w:shd w:val="clear" w:color="000000" w:fill="DDEBF7"/>
            <w:vAlign w:val="bottom"/>
            <w:hideMark/>
          </w:tcPr>
          <w:p w14:paraId="65628BF1" w14:textId="77777777" w:rsidR="00EA4392" w:rsidRPr="00EA4392" w:rsidRDefault="00EA4392" w:rsidP="00EA4392">
            <w:pPr>
              <w:spacing w:before="120" w:after="120" w:line="264" w:lineRule="auto"/>
              <w:rPr>
                <w:rFonts w:eastAsia="Times New Roman" w:cs="Times New Roman"/>
                <w:i/>
                <w:iCs/>
                <w:sz w:val="18"/>
                <w:szCs w:val="18"/>
                <w:lang w:eastAsia="en-AU"/>
              </w:rPr>
            </w:pPr>
            <w:r w:rsidRPr="00EA4392">
              <w:rPr>
                <w:rFonts w:eastAsia="Times New Roman" w:cs="Times New Roman"/>
                <w:i/>
                <w:iCs/>
                <w:sz w:val="18"/>
                <w:szCs w:val="18"/>
                <w:lang w:eastAsia="en-AU"/>
              </w:rPr>
              <w:t>8,647,635</w:t>
            </w:r>
          </w:p>
        </w:tc>
      </w:tr>
    </w:tbl>
    <w:p w14:paraId="513184A1"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xml:space="preserve">*Annual average of relevant items for the 45-64 cohort over the 2018, 2019 and 2020 period </w:t>
      </w:r>
    </w:p>
    <w:p w14:paraId="73B9E928"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xml:space="preserve">**Average of the annual number of relevant MBS items for the 65+ cohort, taken across the same </w:t>
      </w:r>
      <w:proofErr w:type="gramStart"/>
      <w:r w:rsidRPr="00EA4392">
        <w:rPr>
          <w:rFonts w:eastAsia="Times New Roman" w:cs="Times New Roman"/>
          <w:sz w:val="18"/>
          <w:szCs w:val="18"/>
          <w:lang w:eastAsia="en-AU"/>
        </w:rPr>
        <w:t>period of time</w:t>
      </w:r>
      <w:proofErr w:type="gramEnd"/>
      <w:r w:rsidRPr="00EA4392">
        <w:rPr>
          <w:rFonts w:eastAsia="Times New Roman" w:cs="Times New Roman"/>
          <w:sz w:val="18"/>
          <w:szCs w:val="18"/>
          <w:lang w:eastAsia="en-AU"/>
        </w:rPr>
        <w:t xml:space="preserve"> (2018, 2019, 2020)</w:t>
      </w:r>
    </w:p>
    <w:p w14:paraId="33762672" w14:textId="50D324F6"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For the optometric MBS data, </w:t>
      </w:r>
      <w:proofErr w:type="gramStart"/>
      <w:r w:rsidRPr="00EA4392">
        <w:rPr>
          <w:rFonts w:eastAsia="Times New Roman" w:cs="Times New Roman"/>
          <w:sz w:val="22"/>
          <w:szCs w:val="24"/>
          <w:lang w:eastAsia="en-AU"/>
        </w:rPr>
        <w:t>relevant  comprehensive</w:t>
      </w:r>
      <w:proofErr w:type="gramEnd"/>
      <w:r w:rsidRPr="00EA4392">
        <w:rPr>
          <w:rFonts w:eastAsia="Times New Roman" w:cs="Times New Roman"/>
          <w:sz w:val="22"/>
          <w:szCs w:val="24"/>
          <w:lang w:eastAsia="en-AU"/>
        </w:rPr>
        <w:t xml:space="preserve"> optometry MBS items included in yearly averages (10907, 10911, 10912, 10913, 10914, 10915), with assumption of 85% unique patient count per annum applied and averaging applied as per notes to table above. Application of prevalence rates for vision loss and blindness to 2019 ABS population data suggests that 2% of Australians aged 45-64, and 17% of Australians aged 65+ experience vision loss and blindness</w:t>
      </w:r>
      <w:r w:rsidRPr="00EA4392">
        <w:rPr>
          <w:rFonts w:eastAsia="Times New Roman" w:cs="Times New Roman"/>
          <w:sz w:val="22"/>
          <w:szCs w:val="24"/>
          <w:vertAlign w:val="superscript"/>
          <w:lang w:eastAsia="en-AU"/>
        </w:rPr>
        <w:footnoteReference w:id="12"/>
      </w:r>
      <w:r w:rsidRPr="00EA4392">
        <w:rPr>
          <w:rFonts w:eastAsia="Times New Roman" w:cs="Times New Roman"/>
          <w:sz w:val="22"/>
          <w:szCs w:val="24"/>
          <w:lang w:eastAsia="en-AU"/>
        </w:rPr>
        <w:t xml:space="preserve">. </w:t>
      </w:r>
    </w:p>
    <w:p w14:paraId="63700AB4" w14:textId="6282617F"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If it were assumed that those percentages of the populations receiving chronic health checks under the MBS items were likely to require eye tests, it is estimated that up to 108,500+ optometric tests might be required (Table 2, overleaf). However, this figure does not </w:t>
      </w:r>
      <w:proofErr w:type="gramStart"/>
      <w:r w:rsidRPr="00EA4392">
        <w:rPr>
          <w:rFonts w:eastAsia="Times New Roman" w:cs="Times New Roman"/>
          <w:sz w:val="22"/>
          <w:szCs w:val="24"/>
          <w:lang w:eastAsia="en-AU"/>
        </w:rPr>
        <w:t>take into account</w:t>
      </w:r>
      <w:proofErr w:type="gramEnd"/>
      <w:r w:rsidRPr="00EA4392">
        <w:rPr>
          <w:rFonts w:eastAsia="Times New Roman" w:cs="Times New Roman"/>
          <w:sz w:val="22"/>
          <w:szCs w:val="24"/>
          <w:lang w:eastAsia="en-AU"/>
        </w:rPr>
        <w:t xml:space="preserve"> the likelihood that a significant proportion of the people seeking chronic health checks are also already receiving optometric care.</w:t>
      </w:r>
    </w:p>
    <w:p w14:paraId="264C9B29" w14:textId="3EE338D4" w:rsidR="00EA4392" w:rsidRPr="00EA4392" w:rsidRDefault="00EA4392" w:rsidP="00EA4392">
      <w:pPr>
        <w:spacing w:before="120" w:after="120" w:line="264" w:lineRule="auto"/>
        <w:rPr>
          <w:rFonts w:eastAsia="Times New Roman" w:cs="Times New Roman"/>
          <w:sz w:val="22"/>
          <w:szCs w:val="24"/>
          <w:lang w:eastAsia="en-AU"/>
        </w:rPr>
      </w:pPr>
      <w:bookmarkStart w:id="12" w:name="_Hlk76632873"/>
      <w:r w:rsidRPr="00EA4392">
        <w:rPr>
          <w:rFonts w:eastAsia="Times New Roman" w:cs="Times New Roman"/>
          <w:sz w:val="22"/>
          <w:szCs w:val="24"/>
          <w:lang w:eastAsia="en-AU"/>
        </w:rPr>
        <w:t xml:space="preserve">Analysis of optometric data (in Table One) suggests that least 68% in the 45-64 age group and 48% in the 65+ age group are already receiving optometric eye examinations. </w:t>
      </w:r>
      <w:bookmarkEnd w:id="12"/>
      <w:r w:rsidRPr="00EA4392">
        <w:rPr>
          <w:rFonts w:eastAsia="Times New Roman" w:cs="Times New Roman"/>
          <w:sz w:val="22"/>
          <w:szCs w:val="24"/>
          <w:lang w:eastAsia="en-AU"/>
        </w:rPr>
        <w:t xml:space="preserve">Applying these rates to the initial estimates of potential increase in demand for optometric examinations flowing from inclusion of vision testing in chronic health checks suggests that the potential growth in demand for </w:t>
      </w:r>
      <w:r w:rsidRPr="00EA4392">
        <w:rPr>
          <w:rFonts w:eastAsia="Times New Roman" w:cs="Times New Roman"/>
          <w:sz w:val="22"/>
          <w:szCs w:val="24"/>
          <w:lang w:eastAsia="en-AU"/>
        </w:rPr>
        <w:lastRenderedPageBreak/>
        <w:t>optometric eye examinations would, at most, be in the order of 0.7% on current activity levels equating to some 35,000 additional examinations (Table Three).</w:t>
      </w:r>
    </w:p>
    <w:p w14:paraId="63E94D82" w14:textId="77777777" w:rsidR="00EA4392" w:rsidRPr="00EA4392" w:rsidRDefault="00EA4392" w:rsidP="00EA4392">
      <w:pPr>
        <w:spacing w:before="120" w:after="120" w:line="264" w:lineRule="auto"/>
        <w:rPr>
          <w:rFonts w:eastAsia="Times New Roman" w:cs="Times New Roman"/>
          <w:b/>
          <w:sz w:val="22"/>
          <w:szCs w:val="24"/>
          <w:lang w:eastAsia="en-AU"/>
        </w:rPr>
      </w:pPr>
      <w:r w:rsidRPr="00EA4392">
        <w:rPr>
          <w:rFonts w:eastAsia="Times New Roman" w:cs="Times New Roman"/>
          <w:b/>
          <w:sz w:val="22"/>
          <w:szCs w:val="24"/>
          <w:lang w:eastAsia="en-AU"/>
        </w:rPr>
        <w:t xml:space="preserve">Table Two – application of prevalence rates of vision loss and blindness to existing MBS chronic health check activity </w:t>
      </w:r>
    </w:p>
    <w:tbl>
      <w:tblPr>
        <w:tblW w:w="5000" w:type="pct"/>
        <w:tblLook w:val="04A0" w:firstRow="1" w:lastRow="0" w:firstColumn="1" w:lastColumn="0" w:noHBand="0" w:noVBand="1"/>
      </w:tblPr>
      <w:tblGrid>
        <w:gridCol w:w="1669"/>
        <w:gridCol w:w="1355"/>
        <w:gridCol w:w="1700"/>
        <w:gridCol w:w="1605"/>
        <w:gridCol w:w="1510"/>
        <w:gridCol w:w="1794"/>
      </w:tblGrid>
      <w:tr w:rsidR="00EA4392" w:rsidRPr="00EA4392" w14:paraId="23E18B0F" w14:textId="77777777" w:rsidTr="00FE4B75">
        <w:trPr>
          <w:trHeight w:val="1390"/>
        </w:trPr>
        <w:tc>
          <w:tcPr>
            <w:tcW w:w="866" w:type="pct"/>
            <w:tcBorders>
              <w:top w:val="nil"/>
              <w:left w:val="nil"/>
              <w:bottom w:val="single" w:sz="4" w:space="0" w:color="auto"/>
              <w:right w:val="nil"/>
            </w:tcBorders>
            <w:shd w:val="clear" w:color="000000" w:fill="000000"/>
            <w:vAlign w:val="bottom"/>
            <w:hideMark/>
          </w:tcPr>
          <w:p w14:paraId="084F575C"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w:t>
            </w:r>
          </w:p>
        </w:tc>
        <w:tc>
          <w:tcPr>
            <w:tcW w:w="703" w:type="pct"/>
            <w:tcBorders>
              <w:top w:val="single" w:sz="4" w:space="0" w:color="auto"/>
              <w:left w:val="single" w:sz="4" w:space="0" w:color="auto"/>
              <w:bottom w:val="single" w:sz="4" w:space="0" w:color="auto"/>
              <w:right w:val="single" w:sz="4" w:space="0" w:color="auto"/>
            </w:tcBorders>
            <w:shd w:val="clear" w:color="000000" w:fill="000000"/>
            <w:vAlign w:val="bottom"/>
            <w:hideMark/>
          </w:tcPr>
          <w:p w14:paraId="66D723CF"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xml:space="preserve">MBS item 701 </w:t>
            </w:r>
          </w:p>
        </w:tc>
        <w:tc>
          <w:tcPr>
            <w:tcW w:w="882" w:type="pct"/>
            <w:tcBorders>
              <w:top w:val="single" w:sz="4" w:space="0" w:color="auto"/>
              <w:left w:val="nil"/>
              <w:bottom w:val="single" w:sz="4" w:space="0" w:color="auto"/>
              <w:right w:val="single" w:sz="4" w:space="0" w:color="auto"/>
            </w:tcBorders>
            <w:shd w:val="clear" w:color="000000" w:fill="000000"/>
            <w:vAlign w:val="bottom"/>
            <w:hideMark/>
          </w:tcPr>
          <w:p w14:paraId="6685AFA9"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 xml:space="preserve">MBS item 703 - </w:t>
            </w:r>
          </w:p>
        </w:tc>
        <w:tc>
          <w:tcPr>
            <w:tcW w:w="833" w:type="pct"/>
            <w:tcBorders>
              <w:top w:val="single" w:sz="4" w:space="0" w:color="auto"/>
              <w:left w:val="nil"/>
              <w:bottom w:val="single" w:sz="4" w:space="0" w:color="auto"/>
              <w:right w:val="single" w:sz="4" w:space="0" w:color="auto"/>
            </w:tcBorders>
            <w:shd w:val="clear" w:color="000000" w:fill="000000"/>
            <w:vAlign w:val="bottom"/>
            <w:hideMark/>
          </w:tcPr>
          <w:p w14:paraId="31B0E314"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MBS item 705</w:t>
            </w:r>
          </w:p>
        </w:tc>
        <w:tc>
          <w:tcPr>
            <w:tcW w:w="784" w:type="pct"/>
            <w:tcBorders>
              <w:top w:val="single" w:sz="4" w:space="0" w:color="auto"/>
              <w:left w:val="nil"/>
              <w:bottom w:val="single" w:sz="4" w:space="0" w:color="auto"/>
              <w:right w:val="single" w:sz="4" w:space="0" w:color="auto"/>
            </w:tcBorders>
            <w:shd w:val="clear" w:color="000000" w:fill="000000"/>
            <w:vAlign w:val="bottom"/>
            <w:hideMark/>
          </w:tcPr>
          <w:p w14:paraId="6A043354"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MBS item 707</w:t>
            </w:r>
          </w:p>
        </w:tc>
        <w:tc>
          <w:tcPr>
            <w:tcW w:w="931" w:type="pct"/>
            <w:tcBorders>
              <w:top w:val="single" w:sz="4" w:space="0" w:color="auto"/>
              <w:left w:val="nil"/>
              <w:bottom w:val="single" w:sz="4" w:space="0" w:color="auto"/>
              <w:right w:val="single" w:sz="4" w:space="0" w:color="auto"/>
            </w:tcBorders>
            <w:shd w:val="clear" w:color="000000" w:fill="000000"/>
            <w:vAlign w:val="bottom"/>
            <w:hideMark/>
          </w:tcPr>
          <w:p w14:paraId="3E321F24" w14:textId="77777777" w:rsidR="00EA4392" w:rsidRPr="00EA4392" w:rsidRDefault="00EA4392" w:rsidP="00EA4392">
            <w:pPr>
              <w:spacing w:before="120" w:after="120" w:line="264" w:lineRule="auto"/>
              <w:rPr>
                <w:rFonts w:eastAsia="Times New Roman" w:cs="Times New Roman"/>
                <w:sz w:val="18"/>
                <w:szCs w:val="18"/>
                <w:lang w:eastAsia="en-AU"/>
              </w:rPr>
            </w:pPr>
            <w:r w:rsidRPr="00EA4392">
              <w:rPr>
                <w:rFonts w:eastAsia="Times New Roman" w:cs="Times New Roman"/>
                <w:sz w:val="18"/>
                <w:szCs w:val="18"/>
                <w:lang w:eastAsia="en-AU"/>
              </w:rPr>
              <w:t>Potential increase in optometric testing if prevalence rates applied in full to current activity</w:t>
            </w:r>
          </w:p>
        </w:tc>
      </w:tr>
      <w:tr w:rsidR="00EA4392" w:rsidRPr="00EA4392" w14:paraId="407FC34D" w14:textId="77777777" w:rsidTr="00FE4B75">
        <w:trPr>
          <w:trHeight w:val="560"/>
        </w:trPr>
        <w:tc>
          <w:tcPr>
            <w:tcW w:w="866" w:type="pct"/>
            <w:tcBorders>
              <w:top w:val="single" w:sz="4" w:space="0" w:color="auto"/>
              <w:left w:val="single" w:sz="4" w:space="0" w:color="auto"/>
              <w:bottom w:val="single" w:sz="4" w:space="0" w:color="auto"/>
              <w:right w:val="nil"/>
            </w:tcBorders>
            <w:shd w:val="clear" w:color="000000" w:fill="FFFFFF"/>
            <w:vAlign w:val="bottom"/>
            <w:hideMark/>
          </w:tcPr>
          <w:p w14:paraId="1EA09644" w14:textId="77777777" w:rsidR="00EA4392" w:rsidRPr="00EA4392" w:rsidRDefault="00EA4392" w:rsidP="00EA4392">
            <w:pPr>
              <w:spacing w:before="120" w:after="120" w:line="264" w:lineRule="auto"/>
              <w:rPr>
                <w:rFonts w:eastAsia="Times New Roman" w:cs="Times New Roman"/>
                <w:b/>
                <w:bCs/>
                <w:sz w:val="20"/>
                <w:szCs w:val="20"/>
                <w:lang w:eastAsia="en-AU"/>
              </w:rPr>
            </w:pPr>
            <w:r w:rsidRPr="00EA4392">
              <w:rPr>
                <w:rFonts w:eastAsia="Times New Roman" w:cs="Times New Roman"/>
                <w:b/>
                <w:bCs/>
                <w:sz w:val="20"/>
                <w:szCs w:val="20"/>
                <w:lang w:eastAsia="en-AU"/>
              </w:rPr>
              <w:t>age cohort</w:t>
            </w:r>
          </w:p>
        </w:tc>
        <w:tc>
          <w:tcPr>
            <w:tcW w:w="70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1B1840D"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 </w:t>
            </w:r>
          </w:p>
        </w:tc>
        <w:tc>
          <w:tcPr>
            <w:tcW w:w="882" w:type="pct"/>
            <w:tcBorders>
              <w:top w:val="single" w:sz="4" w:space="0" w:color="auto"/>
              <w:left w:val="nil"/>
              <w:bottom w:val="single" w:sz="4" w:space="0" w:color="auto"/>
              <w:right w:val="single" w:sz="4" w:space="0" w:color="auto"/>
            </w:tcBorders>
            <w:shd w:val="clear" w:color="auto" w:fill="auto"/>
            <w:vAlign w:val="bottom"/>
            <w:hideMark/>
          </w:tcPr>
          <w:p w14:paraId="622395ED"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 </w:t>
            </w:r>
          </w:p>
        </w:tc>
        <w:tc>
          <w:tcPr>
            <w:tcW w:w="833" w:type="pct"/>
            <w:tcBorders>
              <w:top w:val="single" w:sz="4" w:space="0" w:color="auto"/>
              <w:left w:val="nil"/>
              <w:bottom w:val="single" w:sz="4" w:space="0" w:color="auto"/>
              <w:right w:val="single" w:sz="4" w:space="0" w:color="auto"/>
            </w:tcBorders>
            <w:shd w:val="clear" w:color="auto" w:fill="auto"/>
            <w:vAlign w:val="bottom"/>
            <w:hideMark/>
          </w:tcPr>
          <w:p w14:paraId="0A3B8F93"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 </w:t>
            </w:r>
          </w:p>
        </w:tc>
        <w:tc>
          <w:tcPr>
            <w:tcW w:w="784" w:type="pct"/>
            <w:tcBorders>
              <w:top w:val="single" w:sz="4" w:space="0" w:color="auto"/>
              <w:left w:val="nil"/>
              <w:bottom w:val="single" w:sz="4" w:space="0" w:color="auto"/>
              <w:right w:val="single" w:sz="4" w:space="0" w:color="auto"/>
            </w:tcBorders>
            <w:shd w:val="clear" w:color="auto" w:fill="auto"/>
            <w:vAlign w:val="bottom"/>
            <w:hideMark/>
          </w:tcPr>
          <w:p w14:paraId="29FFB227"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 </w:t>
            </w:r>
          </w:p>
        </w:tc>
        <w:tc>
          <w:tcPr>
            <w:tcW w:w="931" w:type="pct"/>
            <w:tcBorders>
              <w:top w:val="single" w:sz="4" w:space="0" w:color="auto"/>
              <w:left w:val="nil"/>
              <w:bottom w:val="single" w:sz="4" w:space="0" w:color="auto"/>
              <w:right w:val="single" w:sz="4" w:space="0" w:color="auto"/>
            </w:tcBorders>
            <w:shd w:val="clear" w:color="auto" w:fill="auto"/>
            <w:vAlign w:val="bottom"/>
            <w:hideMark/>
          </w:tcPr>
          <w:p w14:paraId="51623B0A"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 </w:t>
            </w:r>
          </w:p>
        </w:tc>
      </w:tr>
      <w:tr w:rsidR="00EA4392" w:rsidRPr="00EA4392" w14:paraId="66F4A6B5" w14:textId="77777777" w:rsidTr="00FE4B75">
        <w:trPr>
          <w:trHeight w:val="280"/>
        </w:trPr>
        <w:tc>
          <w:tcPr>
            <w:tcW w:w="866" w:type="pct"/>
            <w:tcBorders>
              <w:top w:val="single" w:sz="4" w:space="0" w:color="auto"/>
              <w:left w:val="single" w:sz="4" w:space="0" w:color="auto"/>
              <w:bottom w:val="single" w:sz="4" w:space="0" w:color="auto"/>
              <w:right w:val="nil"/>
            </w:tcBorders>
            <w:shd w:val="clear" w:color="auto" w:fill="auto"/>
            <w:vAlign w:val="bottom"/>
            <w:hideMark/>
          </w:tcPr>
          <w:p w14:paraId="0074448E"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45-65</w:t>
            </w:r>
          </w:p>
        </w:tc>
        <w:tc>
          <w:tcPr>
            <w:tcW w:w="70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776BE6D"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237</w:t>
            </w:r>
          </w:p>
        </w:tc>
        <w:tc>
          <w:tcPr>
            <w:tcW w:w="882" w:type="pct"/>
            <w:tcBorders>
              <w:top w:val="single" w:sz="4" w:space="0" w:color="auto"/>
              <w:left w:val="nil"/>
              <w:bottom w:val="single" w:sz="4" w:space="0" w:color="auto"/>
              <w:right w:val="single" w:sz="4" w:space="0" w:color="auto"/>
            </w:tcBorders>
            <w:shd w:val="clear" w:color="auto" w:fill="auto"/>
            <w:vAlign w:val="bottom"/>
            <w:hideMark/>
          </w:tcPr>
          <w:p w14:paraId="71740FF9"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970</w:t>
            </w:r>
          </w:p>
        </w:tc>
        <w:tc>
          <w:tcPr>
            <w:tcW w:w="833" w:type="pct"/>
            <w:tcBorders>
              <w:top w:val="single" w:sz="4" w:space="0" w:color="auto"/>
              <w:left w:val="nil"/>
              <w:bottom w:val="single" w:sz="4" w:space="0" w:color="auto"/>
              <w:right w:val="single" w:sz="4" w:space="0" w:color="auto"/>
            </w:tcBorders>
            <w:shd w:val="clear" w:color="auto" w:fill="auto"/>
            <w:vAlign w:val="bottom"/>
            <w:hideMark/>
          </w:tcPr>
          <w:p w14:paraId="0C95A787"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784</w:t>
            </w:r>
          </w:p>
        </w:tc>
        <w:tc>
          <w:tcPr>
            <w:tcW w:w="784" w:type="pct"/>
            <w:tcBorders>
              <w:top w:val="single" w:sz="4" w:space="0" w:color="auto"/>
              <w:left w:val="nil"/>
              <w:bottom w:val="single" w:sz="4" w:space="0" w:color="auto"/>
              <w:right w:val="single" w:sz="4" w:space="0" w:color="auto"/>
            </w:tcBorders>
            <w:shd w:val="clear" w:color="auto" w:fill="auto"/>
            <w:vAlign w:val="bottom"/>
            <w:hideMark/>
          </w:tcPr>
          <w:p w14:paraId="64489CAA"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584</w:t>
            </w:r>
          </w:p>
        </w:tc>
        <w:tc>
          <w:tcPr>
            <w:tcW w:w="931" w:type="pct"/>
            <w:tcBorders>
              <w:top w:val="single" w:sz="4" w:space="0" w:color="auto"/>
              <w:left w:val="nil"/>
              <w:bottom w:val="single" w:sz="4" w:space="0" w:color="auto"/>
              <w:right w:val="single" w:sz="4" w:space="0" w:color="auto"/>
            </w:tcBorders>
            <w:shd w:val="clear" w:color="auto" w:fill="auto"/>
            <w:vAlign w:val="bottom"/>
            <w:hideMark/>
          </w:tcPr>
          <w:p w14:paraId="50AF0F8E"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2,575</w:t>
            </w:r>
          </w:p>
        </w:tc>
      </w:tr>
      <w:tr w:rsidR="00EA4392" w:rsidRPr="00EA4392" w14:paraId="7C3ECE95" w14:textId="77777777" w:rsidTr="00FE4B75">
        <w:trPr>
          <w:trHeight w:val="280"/>
        </w:trPr>
        <w:tc>
          <w:tcPr>
            <w:tcW w:w="866" w:type="pct"/>
            <w:tcBorders>
              <w:top w:val="single" w:sz="4" w:space="0" w:color="auto"/>
              <w:left w:val="single" w:sz="4" w:space="0" w:color="auto"/>
              <w:bottom w:val="single" w:sz="4" w:space="0" w:color="auto"/>
              <w:right w:val="nil"/>
            </w:tcBorders>
            <w:shd w:val="clear" w:color="auto" w:fill="auto"/>
            <w:vAlign w:val="bottom"/>
            <w:hideMark/>
          </w:tcPr>
          <w:p w14:paraId="52AC4BB7"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65+</w:t>
            </w:r>
          </w:p>
        </w:tc>
        <w:tc>
          <w:tcPr>
            <w:tcW w:w="70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6E17CC7"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1,913</w:t>
            </w:r>
          </w:p>
        </w:tc>
        <w:tc>
          <w:tcPr>
            <w:tcW w:w="882" w:type="pct"/>
            <w:tcBorders>
              <w:top w:val="single" w:sz="4" w:space="0" w:color="auto"/>
              <w:left w:val="nil"/>
              <w:bottom w:val="single" w:sz="4" w:space="0" w:color="auto"/>
              <w:right w:val="single" w:sz="4" w:space="0" w:color="auto"/>
            </w:tcBorders>
            <w:shd w:val="clear" w:color="auto" w:fill="auto"/>
            <w:vAlign w:val="bottom"/>
            <w:hideMark/>
          </w:tcPr>
          <w:p w14:paraId="037CBB35"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18,884</w:t>
            </w:r>
          </w:p>
        </w:tc>
        <w:tc>
          <w:tcPr>
            <w:tcW w:w="833" w:type="pct"/>
            <w:tcBorders>
              <w:top w:val="single" w:sz="4" w:space="0" w:color="auto"/>
              <w:left w:val="nil"/>
              <w:bottom w:val="single" w:sz="4" w:space="0" w:color="auto"/>
              <w:right w:val="single" w:sz="4" w:space="0" w:color="auto"/>
            </w:tcBorders>
            <w:shd w:val="clear" w:color="auto" w:fill="auto"/>
            <w:vAlign w:val="bottom"/>
            <w:hideMark/>
          </w:tcPr>
          <w:p w14:paraId="63269CB8"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30,579</w:t>
            </w:r>
          </w:p>
        </w:tc>
        <w:tc>
          <w:tcPr>
            <w:tcW w:w="784" w:type="pct"/>
            <w:tcBorders>
              <w:top w:val="single" w:sz="4" w:space="0" w:color="auto"/>
              <w:left w:val="nil"/>
              <w:bottom w:val="single" w:sz="4" w:space="0" w:color="auto"/>
              <w:right w:val="single" w:sz="4" w:space="0" w:color="auto"/>
            </w:tcBorders>
            <w:shd w:val="clear" w:color="auto" w:fill="auto"/>
            <w:vAlign w:val="bottom"/>
            <w:hideMark/>
          </w:tcPr>
          <w:p w14:paraId="5B572F16"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54,583</w:t>
            </w:r>
          </w:p>
        </w:tc>
        <w:tc>
          <w:tcPr>
            <w:tcW w:w="931" w:type="pct"/>
            <w:tcBorders>
              <w:top w:val="single" w:sz="4" w:space="0" w:color="auto"/>
              <w:left w:val="nil"/>
              <w:bottom w:val="single" w:sz="4" w:space="0" w:color="auto"/>
              <w:right w:val="single" w:sz="4" w:space="0" w:color="auto"/>
            </w:tcBorders>
            <w:shd w:val="clear" w:color="auto" w:fill="auto"/>
            <w:vAlign w:val="bottom"/>
            <w:hideMark/>
          </w:tcPr>
          <w:p w14:paraId="3AB63C94"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105,959</w:t>
            </w:r>
          </w:p>
        </w:tc>
      </w:tr>
      <w:tr w:rsidR="00EA4392" w:rsidRPr="00EA4392" w14:paraId="32305F2E" w14:textId="77777777" w:rsidTr="00FE4B75">
        <w:trPr>
          <w:trHeight w:val="290"/>
        </w:trPr>
        <w:tc>
          <w:tcPr>
            <w:tcW w:w="866" w:type="pct"/>
            <w:tcBorders>
              <w:top w:val="single" w:sz="4" w:space="0" w:color="auto"/>
              <w:left w:val="single" w:sz="4" w:space="0" w:color="auto"/>
              <w:bottom w:val="single" w:sz="4" w:space="0" w:color="auto"/>
              <w:right w:val="nil"/>
            </w:tcBorders>
            <w:shd w:val="clear" w:color="000000" w:fill="DDEBF7"/>
            <w:vAlign w:val="bottom"/>
            <w:hideMark/>
          </w:tcPr>
          <w:p w14:paraId="10881BA6" w14:textId="77777777" w:rsidR="00EA4392" w:rsidRPr="00EA4392" w:rsidRDefault="00EA4392" w:rsidP="00EA4392">
            <w:pPr>
              <w:spacing w:before="120" w:after="120" w:line="264" w:lineRule="auto"/>
              <w:rPr>
                <w:rFonts w:eastAsia="Times New Roman" w:cs="Times New Roman"/>
                <w:i/>
                <w:iCs/>
                <w:sz w:val="20"/>
                <w:szCs w:val="20"/>
                <w:lang w:eastAsia="en-AU"/>
              </w:rPr>
            </w:pPr>
            <w:r w:rsidRPr="00EA4392">
              <w:rPr>
                <w:rFonts w:eastAsia="Times New Roman" w:cs="Times New Roman"/>
                <w:i/>
                <w:iCs/>
                <w:sz w:val="20"/>
                <w:szCs w:val="20"/>
                <w:lang w:eastAsia="en-AU"/>
              </w:rPr>
              <w:t>Totals</w:t>
            </w:r>
          </w:p>
        </w:tc>
        <w:tc>
          <w:tcPr>
            <w:tcW w:w="703" w:type="pct"/>
            <w:tcBorders>
              <w:top w:val="single" w:sz="4" w:space="0" w:color="auto"/>
              <w:left w:val="single" w:sz="4" w:space="0" w:color="auto"/>
              <w:bottom w:val="single" w:sz="4" w:space="0" w:color="auto"/>
              <w:right w:val="single" w:sz="4" w:space="0" w:color="auto"/>
            </w:tcBorders>
            <w:shd w:val="clear" w:color="000000" w:fill="DDEBF7"/>
            <w:vAlign w:val="bottom"/>
            <w:hideMark/>
          </w:tcPr>
          <w:p w14:paraId="509969F9" w14:textId="77777777" w:rsidR="00EA4392" w:rsidRPr="00EA4392" w:rsidRDefault="00EA4392" w:rsidP="00EA4392">
            <w:pPr>
              <w:spacing w:before="120" w:after="120" w:line="264" w:lineRule="auto"/>
              <w:rPr>
                <w:rFonts w:eastAsia="Times New Roman" w:cs="Times New Roman"/>
                <w:i/>
                <w:iCs/>
                <w:sz w:val="20"/>
                <w:szCs w:val="20"/>
                <w:lang w:eastAsia="en-AU"/>
              </w:rPr>
            </w:pPr>
            <w:r w:rsidRPr="00EA4392">
              <w:rPr>
                <w:rFonts w:eastAsia="Times New Roman" w:cs="Times New Roman"/>
                <w:i/>
                <w:iCs/>
                <w:sz w:val="20"/>
                <w:szCs w:val="20"/>
                <w:lang w:eastAsia="en-AU"/>
              </w:rPr>
              <w:t> </w:t>
            </w:r>
          </w:p>
        </w:tc>
        <w:tc>
          <w:tcPr>
            <w:tcW w:w="882" w:type="pct"/>
            <w:tcBorders>
              <w:top w:val="single" w:sz="4" w:space="0" w:color="auto"/>
              <w:left w:val="nil"/>
              <w:bottom w:val="single" w:sz="4" w:space="0" w:color="auto"/>
              <w:right w:val="single" w:sz="4" w:space="0" w:color="auto"/>
            </w:tcBorders>
            <w:shd w:val="clear" w:color="000000" w:fill="DDEBF7"/>
            <w:vAlign w:val="bottom"/>
            <w:hideMark/>
          </w:tcPr>
          <w:p w14:paraId="288357EA" w14:textId="77777777" w:rsidR="00EA4392" w:rsidRPr="00EA4392" w:rsidRDefault="00EA4392" w:rsidP="00EA4392">
            <w:pPr>
              <w:spacing w:before="120" w:after="120" w:line="264" w:lineRule="auto"/>
              <w:rPr>
                <w:rFonts w:eastAsia="Times New Roman" w:cs="Times New Roman"/>
                <w:i/>
                <w:iCs/>
                <w:sz w:val="20"/>
                <w:szCs w:val="20"/>
                <w:lang w:eastAsia="en-AU"/>
              </w:rPr>
            </w:pPr>
            <w:r w:rsidRPr="00EA4392">
              <w:rPr>
                <w:rFonts w:eastAsia="Times New Roman" w:cs="Times New Roman"/>
                <w:i/>
                <w:iCs/>
                <w:sz w:val="20"/>
                <w:szCs w:val="20"/>
                <w:lang w:eastAsia="en-AU"/>
              </w:rPr>
              <w:t> </w:t>
            </w:r>
          </w:p>
        </w:tc>
        <w:tc>
          <w:tcPr>
            <w:tcW w:w="833" w:type="pct"/>
            <w:tcBorders>
              <w:top w:val="single" w:sz="4" w:space="0" w:color="auto"/>
              <w:left w:val="nil"/>
              <w:bottom w:val="single" w:sz="4" w:space="0" w:color="auto"/>
              <w:right w:val="single" w:sz="4" w:space="0" w:color="auto"/>
            </w:tcBorders>
            <w:shd w:val="clear" w:color="000000" w:fill="DDEBF7"/>
            <w:vAlign w:val="bottom"/>
            <w:hideMark/>
          </w:tcPr>
          <w:p w14:paraId="51D07968" w14:textId="77777777" w:rsidR="00EA4392" w:rsidRPr="00EA4392" w:rsidRDefault="00EA4392" w:rsidP="00EA4392">
            <w:pPr>
              <w:spacing w:before="120" w:after="120" w:line="264" w:lineRule="auto"/>
              <w:rPr>
                <w:rFonts w:eastAsia="Times New Roman" w:cs="Times New Roman"/>
                <w:i/>
                <w:iCs/>
                <w:sz w:val="20"/>
                <w:szCs w:val="20"/>
                <w:lang w:eastAsia="en-AU"/>
              </w:rPr>
            </w:pPr>
            <w:r w:rsidRPr="00EA4392">
              <w:rPr>
                <w:rFonts w:eastAsia="Times New Roman" w:cs="Times New Roman"/>
                <w:i/>
                <w:iCs/>
                <w:sz w:val="20"/>
                <w:szCs w:val="20"/>
                <w:lang w:eastAsia="en-AU"/>
              </w:rPr>
              <w:t> </w:t>
            </w:r>
          </w:p>
        </w:tc>
        <w:tc>
          <w:tcPr>
            <w:tcW w:w="784" w:type="pct"/>
            <w:tcBorders>
              <w:top w:val="single" w:sz="4" w:space="0" w:color="auto"/>
              <w:left w:val="nil"/>
              <w:bottom w:val="single" w:sz="4" w:space="0" w:color="auto"/>
              <w:right w:val="single" w:sz="4" w:space="0" w:color="auto"/>
            </w:tcBorders>
            <w:shd w:val="clear" w:color="000000" w:fill="DDEBF7"/>
            <w:vAlign w:val="bottom"/>
            <w:hideMark/>
          </w:tcPr>
          <w:p w14:paraId="45CE7CF9" w14:textId="77777777" w:rsidR="00EA4392" w:rsidRPr="00EA4392" w:rsidRDefault="00EA4392" w:rsidP="00EA4392">
            <w:pPr>
              <w:spacing w:before="120" w:after="120" w:line="264" w:lineRule="auto"/>
              <w:rPr>
                <w:rFonts w:eastAsia="Times New Roman" w:cs="Times New Roman"/>
                <w:i/>
                <w:iCs/>
                <w:sz w:val="20"/>
                <w:szCs w:val="20"/>
                <w:lang w:eastAsia="en-AU"/>
              </w:rPr>
            </w:pPr>
            <w:r w:rsidRPr="00EA4392">
              <w:rPr>
                <w:rFonts w:eastAsia="Times New Roman" w:cs="Times New Roman"/>
                <w:i/>
                <w:iCs/>
                <w:sz w:val="20"/>
                <w:szCs w:val="20"/>
                <w:lang w:eastAsia="en-AU"/>
              </w:rPr>
              <w:t> </w:t>
            </w:r>
          </w:p>
        </w:tc>
        <w:tc>
          <w:tcPr>
            <w:tcW w:w="931" w:type="pct"/>
            <w:tcBorders>
              <w:top w:val="single" w:sz="4" w:space="0" w:color="auto"/>
              <w:left w:val="nil"/>
              <w:bottom w:val="single" w:sz="4" w:space="0" w:color="auto"/>
              <w:right w:val="single" w:sz="4" w:space="0" w:color="auto"/>
            </w:tcBorders>
            <w:shd w:val="clear" w:color="000000" w:fill="DDEBF7"/>
            <w:vAlign w:val="bottom"/>
            <w:hideMark/>
          </w:tcPr>
          <w:p w14:paraId="1D9D2F68" w14:textId="77777777" w:rsidR="00EA4392" w:rsidRPr="00EA4392" w:rsidRDefault="00EA4392" w:rsidP="00EA4392">
            <w:pPr>
              <w:spacing w:before="120" w:after="120" w:line="264" w:lineRule="auto"/>
              <w:rPr>
                <w:rFonts w:eastAsia="Times New Roman" w:cs="Times New Roman"/>
                <w:i/>
                <w:iCs/>
                <w:sz w:val="20"/>
                <w:szCs w:val="20"/>
                <w:lang w:eastAsia="en-AU"/>
              </w:rPr>
            </w:pPr>
            <w:r w:rsidRPr="00EA4392">
              <w:rPr>
                <w:rFonts w:eastAsia="Times New Roman" w:cs="Times New Roman"/>
                <w:i/>
                <w:iCs/>
                <w:sz w:val="20"/>
                <w:szCs w:val="20"/>
                <w:lang w:eastAsia="en-AU"/>
              </w:rPr>
              <w:t>108,534</w:t>
            </w:r>
          </w:p>
        </w:tc>
      </w:tr>
    </w:tbl>
    <w:p w14:paraId="04C03C9C" w14:textId="77777777" w:rsidR="00EA4392" w:rsidRPr="00EA4392" w:rsidRDefault="00EA4392" w:rsidP="00EA4392">
      <w:pPr>
        <w:spacing w:before="120" w:after="120" w:line="264" w:lineRule="auto"/>
        <w:rPr>
          <w:rFonts w:eastAsia="Times New Roman" w:cs="Times New Roman"/>
          <w:b/>
          <w:sz w:val="22"/>
          <w:szCs w:val="24"/>
          <w:lang w:eastAsia="en-AU"/>
        </w:rPr>
      </w:pPr>
    </w:p>
    <w:p w14:paraId="5DE1D86E"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b/>
          <w:sz w:val="22"/>
          <w:szCs w:val="24"/>
          <w:lang w:eastAsia="en-AU"/>
        </w:rPr>
        <w:t xml:space="preserve">Table Three – estimate of potential growth in activity and associated cost </w:t>
      </w:r>
    </w:p>
    <w:tbl>
      <w:tblPr>
        <w:tblW w:w="10065" w:type="dxa"/>
        <w:jc w:val="center"/>
        <w:tblLook w:val="04A0" w:firstRow="1" w:lastRow="0" w:firstColumn="1" w:lastColumn="0" w:noHBand="0" w:noVBand="1"/>
      </w:tblPr>
      <w:tblGrid>
        <w:gridCol w:w="839"/>
        <w:gridCol w:w="864"/>
        <w:gridCol w:w="935"/>
        <w:gridCol w:w="1028"/>
        <w:gridCol w:w="936"/>
        <w:gridCol w:w="987"/>
        <w:gridCol w:w="1501"/>
        <w:gridCol w:w="1557"/>
        <w:gridCol w:w="1418"/>
      </w:tblGrid>
      <w:tr w:rsidR="00EA4392" w:rsidRPr="00EA4392" w14:paraId="40F37CCA" w14:textId="77777777" w:rsidTr="00FE4B75">
        <w:trPr>
          <w:trHeight w:val="1680"/>
          <w:jc w:val="center"/>
        </w:trPr>
        <w:tc>
          <w:tcPr>
            <w:tcW w:w="839" w:type="dxa"/>
            <w:tcBorders>
              <w:top w:val="nil"/>
              <w:left w:val="nil"/>
              <w:bottom w:val="single" w:sz="4" w:space="0" w:color="auto"/>
              <w:right w:val="nil"/>
            </w:tcBorders>
            <w:shd w:val="clear" w:color="000000" w:fill="000000"/>
            <w:vAlign w:val="bottom"/>
            <w:hideMark/>
          </w:tcPr>
          <w:p w14:paraId="3C38D0CC" w14:textId="77777777" w:rsidR="00EA4392" w:rsidRPr="00EA4392" w:rsidRDefault="00EA4392" w:rsidP="00EA4392">
            <w:pPr>
              <w:spacing w:before="120" w:after="120" w:line="264" w:lineRule="auto"/>
              <w:rPr>
                <w:rFonts w:eastAsia="Times New Roman" w:cs="Times New Roman"/>
                <w:sz w:val="16"/>
                <w:szCs w:val="16"/>
                <w:lang w:eastAsia="en-AU"/>
              </w:rPr>
            </w:pPr>
          </w:p>
        </w:tc>
        <w:tc>
          <w:tcPr>
            <w:tcW w:w="864" w:type="dxa"/>
            <w:tcBorders>
              <w:top w:val="single" w:sz="4" w:space="0" w:color="auto"/>
              <w:left w:val="single" w:sz="4" w:space="0" w:color="auto"/>
              <w:bottom w:val="single" w:sz="4" w:space="0" w:color="auto"/>
              <w:right w:val="single" w:sz="4" w:space="0" w:color="auto"/>
            </w:tcBorders>
            <w:shd w:val="clear" w:color="000000" w:fill="000000"/>
            <w:vAlign w:val="bottom"/>
            <w:hideMark/>
          </w:tcPr>
          <w:p w14:paraId="6AAEFDF8" w14:textId="77777777" w:rsidR="00EA4392" w:rsidRPr="00EA4392" w:rsidRDefault="00EA4392" w:rsidP="00EA4392">
            <w:pPr>
              <w:spacing w:before="120" w:after="120" w:line="264" w:lineRule="auto"/>
              <w:rPr>
                <w:rFonts w:eastAsia="Times New Roman" w:cs="Times New Roman"/>
                <w:sz w:val="16"/>
                <w:szCs w:val="16"/>
                <w:lang w:eastAsia="en-AU"/>
              </w:rPr>
            </w:pPr>
            <w:r w:rsidRPr="00EA4392">
              <w:rPr>
                <w:rFonts w:eastAsia="Times New Roman" w:cs="Times New Roman"/>
                <w:sz w:val="16"/>
                <w:szCs w:val="16"/>
                <w:lang w:eastAsia="en-AU"/>
              </w:rPr>
              <w:t>MBS item 701</w:t>
            </w:r>
          </w:p>
        </w:tc>
        <w:tc>
          <w:tcPr>
            <w:tcW w:w="935" w:type="dxa"/>
            <w:tcBorders>
              <w:top w:val="single" w:sz="4" w:space="0" w:color="auto"/>
              <w:left w:val="nil"/>
              <w:bottom w:val="single" w:sz="4" w:space="0" w:color="auto"/>
              <w:right w:val="single" w:sz="4" w:space="0" w:color="auto"/>
            </w:tcBorders>
            <w:shd w:val="clear" w:color="000000" w:fill="000000"/>
            <w:vAlign w:val="bottom"/>
            <w:hideMark/>
          </w:tcPr>
          <w:p w14:paraId="56520775" w14:textId="77777777" w:rsidR="00EA4392" w:rsidRPr="00EA4392" w:rsidRDefault="00EA4392" w:rsidP="00EA4392">
            <w:pPr>
              <w:spacing w:before="120" w:after="120" w:line="264" w:lineRule="auto"/>
              <w:rPr>
                <w:rFonts w:eastAsia="Times New Roman" w:cs="Times New Roman"/>
                <w:sz w:val="16"/>
                <w:szCs w:val="16"/>
                <w:lang w:eastAsia="en-AU"/>
              </w:rPr>
            </w:pPr>
            <w:r w:rsidRPr="00EA4392">
              <w:rPr>
                <w:rFonts w:eastAsia="Times New Roman" w:cs="Times New Roman"/>
                <w:sz w:val="16"/>
                <w:szCs w:val="16"/>
                <w:lang w:eastAsia="en-AU"/>
              </w:rPr>
              <w:t>MBS item 703</w:t>
            </w:r>
          </w:p>
        </w:tc>
        <w:tc>
          <w:tcPr>
            <w:tcW w:w="1028" w:type="dxa"/>
            <w:tcBorders>
              <w:top w:val="single" w:sz="4" w:space="0" w:color="auto"/>
              <w:left w:val="nil"/>
              <w:bottom w:val="single" w:sz="4" w:space="0" w:color="auto"/>
              <w:right w:val="single" w:sz="4" w:space="0" w:color="auto"/>
            </w:tcBorders>
            <w:shd w:val="clear" w:color="000000" w:fill="000000"/>
            <w:vAlign w:val="bottom"/>
            <w:hideMark/>
          </w:tcPr>
          <w:p w14:paraId="23F4F0B7" w14:textId="77777777" w:rsidR="00EA4392" w:rsidRPr="00EA4392" w:rsidRDefault="00EA4392" w:rsidP="00EA4392">
            <w:pPr>
              <w:spacing w:before="120" w:after="120" w:line="264" w:lineRule="auto"/>
              <w:rPr>
                <w:rFonts w:eastAsia="Times New Roman" w:cs="Times New Roman"/>
                <w:sz w:val="16"/>
                <w:szCs w:val="16"/>
                <w:lang w:eastAsia="en-AU"/>
              </w:rPr>
            </w:pPr>
            <w:r w:rsidRPr="00EA4392">
              <w:rPr>
                <w:rFonts w:eastAsia="Times New Roman" w:cs="Times New Roman"/>
                <w:sz w:val="16"/>
                <w:szCs w:val="16"/>
                <w:lang w:eastAsia="en-AU"/>
              </w:rPr>
              <w:t>MBS item 705</w:t>
            </w:r>
          </w:p>
        </w:tc>
        <w:tc>
          <w:tcPr>
            <w:tcW w:w="936" w:type="dxa"/>
            <w:tcBorders>
              <w:top w:val="single" w:sz="4" w:space="0" w:color="auto"/>
              <w:left w:val="nil"/>
              <w:bottom w:val="single" w:sz="4" w:space="0" w:color="auto"/>
              <w:right w:val="single" w:sz="4" w:space="0" w:color="auto"/>
            </w:tcBorders>
            <w:shd w:val="clear" w:color="000000" w:fill="000000"/>
            <w:vAlign w:val="bottom"/>
            <w:hideMark/>
          </w:tcPr>
          <w:p w14:paraId="06C374D3" w14:textId="77777777" w:rsidR="00EA4392" w:rsidRPr="00EA4392" w:rsidRDefault="00EA4392" w:rsidP="00EA4392">
            <w:pPr>
              <w:spacing w:before="120" w:after="120" w:line="264" w:lineRule="auto"/>
              <w:rPr>
                <w:rFonts w:eastAsia="Times New Roman" w:cs="Times New Roman"/>
                <w:sz w:val="16"/>
                <w:szCs w:val="16"/>
                <w:lang w:eastAsia="en-AU"/>
              </w:rPr>
            </w:pPr>
            <w:r w:rsidRPr="00EA4392">
              <w:rPr>
                <w:rFonts w:eastAsia="Times New Roman" w:cs="Times New Roman"/>
                <w:sz w:val="16"/>
                <w:szCs w:val="16"/>
                <w:lang w:eastAsia="en-AU"/>
              </w:rPr>
              <w:t>MBS item 707</w:t>
            </w:r>
          </w:p>
        </w:tc>
        <w:tc>
          <w:tcPr>
            <w:tcW w:w="987" w:type="dxa"/>
            <w:tcBorders>
              <w:top w:val="single" w:sz="4" w:space="0" w:color="auto"/>
              <w:left w:val="nil"/>
              <w:bottom w:val="single" w:sz="4" w:space="0" w:color="auto"/>
              <w:right w:val="single" w:sz="4" w:space="0" w:color="auto"/>
            </w:tcBorders>
            <w:shd w:val="clear" w:color="000000" w:fill="000000"/>
            <w:vAlign w:val="bottom"/>
            <w:hideMark/>
          </w:tcPr>
          <w:p w14:paraId="13657C0D" w14:textId="77777777" w:rsidR="00EA4392" w:rsidRPr="00EA4392" w:rsidRDefault="00EA4392" w:rsidP="00EA4392">
            <w:pPr>
              <w:spacing w:before="120" w:after="120" w:line="264" w:lineRule="auto"/>
              <w:rPr>
                <w:rFonts w:eastAsia="Times New Roman" w:cs="Times New Roman"/>
                <w:sz w:val="16"/>
                <w:szCs w:val="16"/>
                <w:lang w:eastAsia="en-AU"/>
              </w:rPr>
            </w:pPr>
            <w:r w:rsidRPr="00EA4392">
              <w:rPr>
                <w:rFonts w:eastAsia="Times New Roman" w:cs="Times New Roman"/>
                <w:sz w:val="16"/>
                <w:szCs w:val="16"/>
                <w:lang w:eastAsia="en-AU"/>
              </w:rPr>
              <w:t>Total chronic health checks</w:t>
            </w:r>
          </w:p>
        </w:tc>
        <w:tc>
          <w:tcPr>
            <w:tcW w:w="1501" w:type="dxa"/>
            <w:tcBorders>
              <w:top w:val="nil"/>
              <w:left w:val="nil"/>
              <w:bottom w:val="nil"/>
              <w:right w:val="single" w:sz="4" w:space="0" w:color="auto"/>
            </w:tcBorders>
            <w:shd w:val="clear" w:color="000000" w:fill="000000"/>
            <w:vAlign w:val="bottom"/>
            <w:hideMark/>
          </w:tcPr>
          <w:p w14:paraId="3754B772" w14:textId="77777777" w:rsidR="00EA4392" w:rsidRPr="00EA4392" w:rsidRDefault="00EA4392" w:rsidP="00EA4392">
            <w:pPr>
              <w:spacing w:before="120" w:after="120" w:line="264" w:lineRule="auto"/>
              <w:rPr>
                <w:rFonts w:eastAsia="Times New Roman" w:cs="Times New Roman"/>
                <w:sz w:val="16"/>
                <w:szCs w:val="16"/>
                <w:lang w:eastAsia="en-AU"/>
              </w:rPr>
            </w:pPr>
            <w:r w:rsidRPr="00EA4392">
              <w:rPr>
                <w:rFonts w:eastAsia="Times New Roman" w:cs="Times New Roman"/>
                <w:sz w:val="16"/>
                <w:szCs w:val="16"/>
                <w:lang w:eastAsia="en-AU"/>
              </w:rPr>
              <w:t xml:space="preserve">Potential growth in demand assuming proportion of populations with likely vision loss </w:t>
            </w:r>
            <w:r w:rsidRPr="00EA4392">
              <w:rPr>
                <w:rFonts w:eastAsia="Times New Roman" w:cs="Times New Roman"/>
                <w:sz w:val="16"/>
                <w:szCs w:val="16"/>
                <w:u w:val="single"/>
                <w:lang w:eastAsia="en-AU"/>
              </w:rPr>
              <w:t>already in optometric care</w:t>
            </w:r>
            <w:r w:rsidRPr="00EA4392">
              <w:rPr>
                <w:rFonts w:eastAsia="Times New Roman" w:cs="Times New Roman"/>
                <w:sz w:val="16"/>
                <w:szCs w:val="16"/>
                <w:u w:val="single"/>
                <w:vertAlign w:val="superscript"/>
                <w:lang w:eastAsia="en-AU"/>
              </w:rPr>
              <w:t>#</w:t>
            </w:r>
          </w:p>
        </w:tc>
        <w:tc>
          <w:tcPr>
            <w:tcW w:w="1557" w:type="dxa"/>
            <w:tcBorders>
              <w:top w:val="nil"/>
              <w:left w:val="nil"/>
              <w:bottom w:val="nil"/>
              <w:right w:val="single" w:sz="4" w:space="0" w:color="auto"/>
            </w:tcBorders>
            <w:shd w:val="clear" w:color="000000" w:fill="000000"/>
            <w:vAlign w:val="bottom"/>
            <w:hideMark/>
          </w:tcPr>
          <w:p w14:paraId="480E5725" w14:textId="77777777" w:rsidR="00EA4392" w:rsidRPr="00EA4392" w:rsidRDefault="00EA4392" w:rsidP="00EA4392">
            <w:pPr>
              <w:spacing w:before="120" w:after="120" w:line="264" w:lineRule="auto"/>
              <w:rPr>
                <w:rFonts w:eastAsia="Times New Roman" w:cs="Times New Roman"/>
                <w:sz w:val="16"/>
                <w:szCs w:val="16"/>
                <w:lang w:eastAsia="en-AU"/>
              </w:rPr>
            </w:pPr>
            <w:r w:rsidRPr="00EA4392">
              <w:rPr>
                <w:rFonts w:eastAsia="Times New Roman" w:cs="Times New Roman"/>
                <w:sz w:val="16"/>
                <w:szCs w:val="16"/>
                <w:lang w:eastAsia="en-AU"/>
              </w:rPr>
              <w:t>cost of initial optometric examination per annum (note 10910 once every 3 yrs. so factored down)</w:t>
            </w:r>
          </w:p>
        </w:tc>
        <w:tc>
          <w:tcPr>
            <w:tcW w:w="1418" w:type="dxa"/>
            <w:tcBorders>
              <w:top w:val="nil"/>
              <w:left w:val="nil"/>
              <w:bottom w:val="nil"/>
              <w:right w:val="single" w:sz="4" w:space="0" w:color="auto"/>
            </w:tcBorders>
            <w:shd w:val="clear" w:color="000000" w:fill="000000"/>
            <w:vAlign w:val="bottom"/>
            <w:hideMark/>
          </w:tcPr>
          <w:p w14:paraId="69321243" w14:textId="77777777" w:rsidR="00EA4392" w:rsidRPr="00EA4392" w:rsidRDefault="00EA4392" w:rsidP="00EA4392">
            <w:pPr>
              <w:spacing w:before="120" w:after="120" w:line="264" w:lineRule="auto"/>
              <w:rPr>
                <w:rFonts w:eastAsia="Times New Roman" w:cs="Times New Roman"/>
                <w:sz w:val="16"/>
                <w:szCs w:val="16"/>
                <w:lang w:eastAsia="en-AU"/>
              </w:rPr>
            </w:pPr>
            <w:r w:rsidRPr="00EA4392">
              <w:rPr>
                <w:rFonts w:eastAsia="Times New Roman" w:cs="Times New Roman"/>
                <w:sz w:val="16"/>
                <w:szCs w:val="16"/>
                <w:lang w:eastAsia="en-AU"/>
              </w:rPr>
              <w:t>Estimated cost of demand growth</w:t>
            </w:r>
          </w:p>
        </w:tc>
      </w:tr>
      <w:tr w:rsidR="00EA4392" w:rsidRPr="00EA4392" w14:paraId="29C73BAA" w14:textId="77777777" w:rsidTr="00FE4B75">
        <w:trPr>
          <w:trHeight w:val="600"/>
          <w:jc w:val="center"/>
        </w:trPr>
        <w:tc>
          <w:tcPr>
            <w:tcW w:w="839" w:type="dxa"/>
            <w:tcBorders>
              <w:top w:val="single" w:sz="4" w:space="0" w:color="auto"/>
              <w:left w:val="single" w:sz="4" w:space="0" w:color="auto"/>
              <w:bottom w:val="single" w:sz="4" w:space="0" w:color="auto"/>
              <w:right w:val="nil"/>
            </w:tcBorders>
            <w:shd w:val="clear" w:color="000000" w:fill="FFFFFF"/>
            <w:vAlign w:val="bottom"/>
            <w:hideMark/>
          </w:tcPr>
          <w:p w14:paraId="5807332A" w14:textId="77777777" w:rsidR="00EA4392" w:rsidRPr="00EA4392" w:rsidRDefault="00EA4392" w:rsidP="00EA4392">
            <w:pPr>
              <w:spacing w:before="120" w:after="120" w:line="264" w:lineRule="auto"/>
              <w:rPr>
                <w:rFonts w:eastAsia="Times New Roman" w:cs="Times New Roman"/>
                <w:b/>
                <w:bCs/>
                <w:sz w:val="18"/>
                <w:szCs w:val="18"/>
                <w:lang w:eastAsia="en-AU"/>
              </w:rPr>
            </w:pPr>
            <w:r w:rsidRPr="00EA4392">
              <w:rPr>
                <w:rFonts w:eastAsia="Times New Roman" w:cs="Times New Roman"/>
                <w:b/>
                <w:bCs/>
                <w:sz w:val="18"/>
                <w:szCs w:val="18"/>
                <w:lang w:eastAsia="en-AU"/>
              </w:rPr>
              <w:t>age cohort</w:t>
            </w:r>
          </w:p>
        </w:tc>
        <w:tc>
          <w:tcPr>
            <w:tcW w:w="864" w:type="dxa"/>
            <w:tcBorders>
              <w:top w:val="nil"/>
              <w:left w:val="single" w:sz="4" w:space="0" w:color="auto"/>
              <w:bottom w:val="single" w:sz="4" w:space="0" w:color="auto"/>
              <w:right w:val="single" w:sz="4" w:space="0" w:color="auto"/>
            </w:tcBorders>
            <w:shd w:val="clear" w:color="auto" w:fill="auto"/>
            <w:vAlign w:val="bottom"/>
            <w:hideMark/>
          </w:tcPr>
          <w:p w14:paraId="2742ADAC" w14:textId="77777777" w:rsidR="00EA4392" w:rsidRPr="00EA4392" w:rsidRDefault="00EA4392" w:rsidP="00EA4392">
            <w:pPr>
              <w:spacing w:before="120" w:after="120" w:line="264" w:lineRule="auto"/>
              <w:rPr>
                <w:rFonts w:eastAsia="Times New Roman" w:cs="Times New Roman"/>
                <w:sz w:val="18"/>
                <w:szCs w:val="18"/>
                <w:lang w:eastAsia="en-AU"/>
              </w:rPr>
            </w:pPr>
          </w:p>
        </w:tc>
        <w:tc>
          <w:tcPr>
            <w:tcW w:w="935" w:type="dxa"/>
            <w:tcBorders>
              <w:top w:val="nil"/>
              <w:left w:val="nil"/>
              <w:bottom w:val="single" w:sz="4" w:space="0" w:color="auto"/>
              <w:right w:val="single" w:sz="4" w:space="0" w:color="auto"/>
            </w:tcBorders>
            <w:shd w:val="clear" w:color="auto" w:fill="auto"/>
            <w:vAlign w:val="bottom"/>
            <w:hideMark/>
          </w:tcPr>
          <w:p w14:paraId="440D6A0A" w14:textId="77777777" w:rsidR="00EA4392" w:rsidRPr="00EA4392" w:rsidRDefault="00EA4392" w:rsidP="00EA4392">
            <w:pPr>
              <w:spacing w:before="120" w:after="120" w:line="264" w:lineRule="auto"/>
              <w:rPr>
                <w:rFonts w:eastAsia="Times New Roman" w:cs="Times New Roman"/>
                <w:sz w:val="18"/>
                <w:szCs w:val="18"/>
                <w:lang w:eastAsia="en-AU"/>
              </w:rPr>
            </w:pPr>
          </w:p>
        </w:tc>
        <w:tc>
          <w:tcPr>
            <w:tcW w:w="1028" w:type="dxa"/>
            <w:tcBorders>
              <w:top w:val="nil"/>
              <w:left w:val="nil"/>
              <w:bottom w:val="single" w:sz="4" w:space="0" w:color="auto"/>
              <w:right w:val="single" w:sz="4" w:space="0" w:color="auto"/>
            </w:tcBorders>
            <w:shd w:val="clear" w:color="auto" w:fill="auto"/>
            <w:vAlign w:val="bottom"/>
            <w:hideMark/>
          </w:tcPr>
          <w:p w14:paraId="51A9D135" w14:textId="77777777" w:rsidR="00EA4392" w:rsidRPr="00EA4392" w:rsidRDefault="00EA4392" w:rsidP="00EA4392">
            <w:pPr>
              <w:spacing w:before="120" w:after="120" w:line="264" w:lineRule="auto"/>
              <w:rPr>
                <w:rFonts w:eastAsia="Times New Roman" w:cs="Times New Roman"/>
                <w:sz w:val="18"/>
                <w:szCs w:val="18"/>
                <w:lang w:eastAsia="en-AU"/>
              </w:rPr>
            </w:pPr>
          </w:p>
        </w:tc>
        <w:tc>
          <w:tcPr>
            <w:tcW w:w="936" w:type="dxa"/>
            <w:tcBorders>
              <w:top w:val="nil"/>
              <w:left w:val="nil"/>
              <w:bottom w:val="single" w:sz="4" w:space="0" w:color="auto"/>
              <w:right w:val="single" w:sz="4" w:space="0" w:color="auto"/>
            </w:tcBorders>
            <w:shd w:val="clear" w:color="auto" w:fill="auto"/>
            <w:vAlign w:val="bottom"/>
            <w:hideMark/>
          </w:tcPr>
          <w:p w14:paraId="7ACBB458" w14:textId="77777777" w:rsidR="00EA4392" w:rsidRPr="00EA4392" w:rsidRDefault="00EA4392" w:rsidP="00EA4392">
            <w:pPr>
              <w:spacing w:before="120" w:after="120" w:line="264" w:lineRule="auto"/>
              <w:rPr>
                <w:rFonts w:eastAsia="Times New Roman" w:cs="Times New Roman"/>
                <w:sz w:val="18"/>
                <w:szCs w:val="18"/>
                <w:lang w:eastAsia="en-AU"/>
              </w:rPr>
            </w:pPr>
          </w:p>
        </w:tc>
        <w:tc>
          <w:tcPr>
            <w:tcW w:w="987" w:type="dxa"/>
            <w:tcBorders>
              <w:top w:val="nil"/>
              <w:left w:val="nil"/>
              <w:bottom w:val="single" w:sz="4" w:space="0" w:color="auto"/>
              <w:right w:val="single" w:sz="4" w:space="0" w:color="auto"/>
            </w:tcBorders>
            <w:shd w:val="clear" w:color="auto" w:fill="auto"/>
            <w:vAlign w:val="bottom"/>
            <w:hideMark/>
          </w:tcPr>
          <w:p w14:paraId="73D288DB" w14:textId="77777777" w:rsidR="00EA4392" w:rsidRPr="00EA4392" w:rsidRDefault="00EA4392" w:rsidP="00EA4392">
            <w:pPr>
              <w:spacing w:before="120" w:after="120" w:line="264" w:lineRule="auto"/>
              <w:rPr>
                <w:rFonts w:eastAsia="Times New Roman" w:cs="Times New Roman"/>
                <w:sz w:val="18"/>
                <w:szCs w:val="18"/>
                <w:lang w:eastAsia="en-AU"/>
              </w:rPr>
            </w:pPr>
          </w:p>
        </w:tc>
        <w:tc>
          <w:tcPr>
            <w:tcW w:w="1501" w:type="dxa"/>
            <w:tcBorders>
              <w:top w:val="single" w:sz="4" w:space="0" w:color="auto"/>
              <w:left w:val="nil"/>
              <w:bottom w:val="single" w:sz="4" w:space="0" w:color="auto"/>
              <w:right w:val="single" w:sz="4" w:space="0" w:color="auto"/>
            </w:tcBorders>
            <w:shd w:val="clear" w:color="auto" w:fill="auto"/>
            <w:vAlign w:val="bottom"/>
            <w:hideMark/>
          </w:tcPr>
          <w:p w14:paraId="6ED9212F" w14:textId="77777777" w:rsidR="00EA4392" w:rsidRPr="00EA4392" w:rsidRDefault="00EA4392" w:rsidP="00EA4392">
            <w:pPr>
              <w:spacing w:before="120" w:after="120" w:line="264" w:lineRule="auto"/>
              <w:rPr>
                <w:rFonts w:eastAsia="Times New Roman" w:cs="Times New Roman"/>
                <w:sz w:val="18"/>
                <w:szCs w:val="18"/>
                <w:lang w:eastAsia="en-AU"/>
              </w:rPr>
            </w:pPr>
          </w:p>
        </w:tc>
        <w:tc>
          <w:tcPr>
            <w:tcW w:w="1557" w:type="dxa"/>
            <w:tcBorders>
              <w:top w:val="single" w:sz="4" w:space="0" w:color="auto"/>
              <w:left w:val="nil"/>
              <w:bottom w:val="single" w:sz="4" w:space="0" w:color="auto"/>
              <w:right w:val="single" w:sz="4" w:space="0" w:color="auto"/>
            </w:tcBorders>
            <w:shd w:val="clear" w:color="auto" w:fill="auto"/>
            <w:vAlign w:val="bottom"/>
            <w:hideMark/>
          </w:tcPr>
          <w:p w14:paraId="1ADAEA02" w14:textId="77777777" w:rsidR="00EA4392" w:rsidRPr="00EA4392" w:rsidRDefault="00EA4392" w:rsidP="00EA4392">
            <w:pPr>
              <w:spacing w:before="120" w:after="120" w:line="264" w:lineRule="auto"/>
              <w:rPr>
                <w:rFonts w:eastAsia="Times New Roman" w:cs="Times New Roman"/>
                <w:sz w:val="18"/>
                <w:szCs w:val="18"/>
                <w:lang w:eastAsia="en-AU"/>
              </w:rPr>
            </w:pPr>
          </w:p>
        </w:tc>
        <w:tc>
          <w:tcPr>
            <w:tcW w:w="1418" w:type="dxa"/>
            <w:tcBorders>
              <w:top w:val="single" w:sz="4" w:space="0" w:color="auto"/>
              <w:left w:val="nil"/>
              <w:bottom w:val="single" w:sz="4" w:space="0" w:color="auto"/>
              <w:right w:val="single" w:sz="4" w:space="0" w:color="auto"/>
            </w:tcBorders>
            <w:shd w:val="clear" w:color="auto" w:fill="auto"/>
            <w:vAlign w:val="bottom"/>
            <w:hideMark/>
          </w:tcPr>
          <w:p w14:paraId="5B5011C9" w14:textId="77777777" w:rsidR="00EA4392" w:rsidRPr="00EA4392" w:rsidRDefault="00EA4392" w:rsidP="00EA4392">
            <w:pPr>
              <w:spacing w:before="120" w:after="120" w:line="264" w:lineRule="auto"/>
              <w:rPr>
                <w:rFonts w:eastAsia="Times New Roman" w:cs="Times New Roman"/>
                <w:sz w:val="18"/>
                <w:szCs w:val="18"/>
                <w:lang w:eastAsia="en-AU"/>
              </w:rPr>
            </w:pPr>
          </w:p>
        </w:tc>
      </w:tr>
      <w:tr w:rsidR="00EA4392" w:rsidRPr="00EA4392" w14:paraId="751A94D5" w14:textId="77777777" w:rsidTr="00FE4B75">
        <w:trPr>
          <w:trHeight w:val="285"/>
          <w:jc w:val="center"/>
        </w:trPr>
        <w:tc>
          <w:tcPr>
            <w:tcW w:w="839" w:type="dxa"/>
            <w:tcBorders>
              <w:top w:val="single" w:sz="4" w:space="0" w:color="auto"/>
              <w:left w:val="single" w:sz="4" w:space="0" w:color="auto"/>
              <w:bottom w:val="single" w:sz="4" w:space="0" w:color="auto"/>
              <w:right w:val="nil"/>
            </w:tcBorders>
            <w:shd w:val="clear" w:color="auto" w:fill="auto"/>
            <w:vAlign w:val="bottom"/>
            <w:hideMark/>
          </w:tcPr>
          <w:p w14:paraId="5B48B4F5"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45-65</w:t>
            </w:r>
          </w:p>
        </w:tc>
        <w:tc>
          <w:tcPr>
            <w:tcW w:w="864" w:type="dxa"/>
            <w:tcBorders>
              <w:top w:val="nil"/>
              <w:left w:val="single" w:sz="4" w:space="0" w:color="auto"/>
              <w:bottom w:val="single" w:sz="4" w:space="0" w:color="auto"/>
              <w:right w:val="single" w:sz="4" w:space="0" w:color="auto"/>
            </w:tcBorders>
            <w:shd w:val="clear" w:color="auto" w:fill="auto"/>
            <w:vAlign w:val="bottom"/>
            <w:hideMark/>
          </w:tcPr>
          <w:p w14:paraId="0F5310CB"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237</w:t>
            </w:r>
          </w:p>
        </w:tc>
        <w:tc>
          <w:tcPr>
            <w:tcW w:w="935" w:type="dxa"/>
            <w:tcBorders>
              <w:top w:val="nil"/>
              <w:left w:val="nil"/>
              <w:bottom w:val="single" w:sz="4" w:space="0" w:color="auto"/>
              <w:right w:val="single" w:sz="4" w:space="0" w:color="auto"/>
            </w:tcBorders>
            <w:shd w:val="clear" w:color="auto" w:fill="auto"/>
            <w:vAlign w:val="bottom"/>
            <w:hideMark/>
          </w:tcPr>
          <w:p w14:paraId="00B803E8"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970</w:t>
            </w:r>
          </w:p>
        </w:tc>
        <w:tc>
          <w:tcPr>
            <w:tcW w:w="1028" w:type="dxa"/>
            <w:tcBorders>
              <w:top w:val="nil"/>
              <w:left w:val="nil"/>
              <w:bottom w:val="single" w:sz="4" w:space="0" w:color="auto"/>
              <w:right w:val="single" w:sz="4" w:space="0" w:color="auto"/>
            </w:tcBorders>
            <w:shd w:val="clear" w:color="auto" w:fill="auto"/>
            <w:vAlign w:val="bottom"/>
            <w:hideMark/>
          </w:tcPr>
          <w:p w14:paraId="2E7A8BB0"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784</w:t>
            </w:r>
          </w:p>
        </w:tc>
        <w:tc>
          <w:tcPr>
            <w:tcW w:w="936" w:type="dxa"/>
            <w:tcBorders>
              <w:top w:val="nil"/>
              <w:left w:val="nil"/>
              <w:bottom w:val="single" w:sz="4" w:space="0" w:color="auto"/>
              <w:right w:val="single" w:sz="4" w:space="0" w:color="auto"/>
            </w:tcBorders>
            <w:shd w:val="clear" w:color="auto" w:fill="auto"/>
            <w:vAlign w:val="bottom"/>
            <w:hideMark/>
          </w:tcPr>
          <w:p w14:paraId="2E4D9F74"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584</w:t>
            </w:r>
          </w:p>
        </w:tc>
        <w:tc>
          <w:tcPr>
            <w:tcW w:w="987" w:type="dxa"/>
            <w:tcBorders>
              <w:top w:val="nil"/>
              <w:left w:val="nil"/>
              <w:bottom w:val="single" w:sz="4" w:space="0" w:color="auto"/>
              <w:right w:val="single" w:sz="4" w:space="0" w:color="auto"/>
            </w:tcBorders>
            <w:shd w:val="clear" w:color="auto" w:fill="auto"/>
            <w:vAlign w:val="bottom"/>
            <w:hideMark/>
          </w:tcPr>
          <w:p w14:paraId="72EAF32D"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2,575</w:t>
            </w:r>
          </w:p>
        </w:tc>
        <w:tc>
          <w:tcPr>
            <w:tcW w:w="1501" w:type="dxa"/>
            <w:tcBorders>
              <w:top w:val="nil"/>
              <w:left w:val="nil"/>
              <w:bottom w:val="single" w:sz="4" w:space="0" w:color="auto"/>
              <w:right w:val="single" w:sz="4" w:space="0" w:color="auto"/>
            </w:tcBorders>
            <w:shd w:val="clear" w:color="auto" w:fill="auto"/>
            <w:vAlign w:val="bottom"/>
            <w:hideMark/>
          </w:tcPr>
          <w:p w14:paraId="3A7FF93A"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835</w:t>
            </w:r>
          </w:p>
        </w:tc>
        <w:tc>
          <w:tcPr>
            <w:tcW w:w="1557" w:type="dxa"/>
            <w:tcBorders>
              <w:top w:val="nil"/>
              <w:left w:val="nil"/>
              <w:bottom w:val="single" w:sz="4" w:space="0" w:color="auto"/>
              <w:right w:val="single" w:sz="4" w:space="0" w:color="auto"/>
            </w:tcBorders>
            <w:shd w:val="clear" w:color="auto" w:fill="auto"/>
            <w:vAlign w:val="bottom"/>
            <w:hideMark/>
          </w:tcPr>
          <w:p w14:paraId="5A88E948"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$ 58.55</w:t>
            </w:r>
          </w:p>
        </w:tc>
        <w:tc>
          <w:tcPr>
            <w:tcW w:w="1418" w:type="dxa"/>
            <w:tcBorders>
              <w:top w:val="nil"/>
              <w:left w:val="nil"/>
              <w:bottom w:val="single" w:sz="4" w:space="0" w:color="auto"/>
              <w:right w:val="single" w:sz="4" w:space="0" w:color="auto"/>
            </w:tcBorders>
            <w:shd w:val="clear" w:color="auto" w:fill="auto"/>
            <w:vAlign w:val="bottom"/>
            <w:hideMark/>
          </w:tcPr>
          <w:p w14:paraId="516A465F"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$48,882</w:t>
            </w:r>
          </w:p>
        </w:tc>
      </w:tr>
      <w:tr w:rsidR="00EA4392" w:rsidRPr="00EA4392" w14:paraId="131BF77F" w14:textId="77777777" w:rsidTr="00FE4B75">
        <w:trPr>
          <w:trHeight w:val="285"/>
          <w:jc w:val="center"/>
        </w:trPr>
        <w:tc>
          <w:tcPr>
            <w:tcW w:w="839" w:type="dxa"/>
            <w:tcBorders>
              <w:top w:val="single" w:sz="4" w:space="0" w:color="auto"/>
              <w:left w:val="single" w:sz="4" w:space="0" w:color="auto"/>
              <w:bottom w:val="single" w:sz="4" w:space="0" w:color="auto"/>
              <w:right w:val="nil"/>
            </w:tcBorders>
            <w:shd w:val="clear" w:color="auto" w:fill="auto"/>
            <w:vAlign w:val="bottom"/>
            <w:hideMark/>
          </w:tcPr>
          <w:p w14:paraId="17CCA5EB"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65+</w:t>
            </w:r>
          </w:p>
        </w:tc>
        <w:tc>
          <w:tcPr>
            <w:tcW w:w="864" w:type="dxa"/>
            <w:tcBorders>
              <w:top w:val="nil"/>
              <w:left w:val="single" w:sz="4" w:space="0" w:color="auto"/>
              <w:bottom w:val="single" w:sz="4" w:space="0" w:color="auto"/>
              <w:right w:val="single" w:sz="4" w:space="0" w:color="auto"/>
            </w:tcBorders>
            <w:shd w:val="clear" w:color="auto" w:fill="auto"/>
            <w:vAlign w:val="bottom"/>
            <w:hideMark/>
          </w:tcPr>
          <w:p w14:paraId="2105E9A3"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1,913</w:t>
            </w:r>
          </w:p>
        </w:tc>
        <w:tc>
          <w:tcPr>
            <w:tcW w:w="935" w:type="dxa"/>
            <w:tcBorders>
              <w:top w:val="nil"/>
              <w:left w:val="nil"/>
              <w:bottom w:val="single" w:sz="4" w:space="0" w:color="auto"/>
              <w:right w:val="single" w:sz="4" w:space="0" w:color="auto"/>
            </w:tcBorders>
            <w:shd w:val="clear" w:color="auto" w:fill="auto"/>
            <w:vAlign w:val="bottom"/>
            <w:hideMark/>
          </w:tcPr>
          <w:p w14:paraId="7AE0CDB4"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18,884</w:t>
            </w:r>
          </w:p>
        </w:tc>
        <w:tc>
          <w:tcPr>
            <w:tcW w:w="1028" w:type="dxa"/>
            <w:tcBorders>
              <w:top w:val="nil"/>
              <w:left w:val="nil"/>
              <w:bottom w:val="single" w:sz="4" w:space="0" w:color="auto"/>
              <w:right w:val="single" w:sz="4" w:space="0" w:color="auto"/>
            </w:tcBorders>
            <w:shd w:val="clear" w:color="auto" w:fill="auto"/>
            <w:vAlign w:val="bottom"/>
            <w:hideMark/>
          </w:tcPr>
          <w:p w14:paraId="1D407B23"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30,579</w:t>
            </w:r>
          </w:p>
        </w:tc>
        <w:tc>
          <w:tcPr>
            <w:tcW w:w="936" w:type="dxa"/>
            <w:tcBorders>
              <w:top w:val="nil"/>
              <w:left w:val="nil"/>
              <w:bottom w:val="single" w:sz="4" w:space="0" w:color="auto"/>
              <w:right w:val="single" w:sz="4" w:space="0" w:color="auto"/>
            </w:tcBorders>
            <w:shd w:val="clear" w:color="auto" w:fill="auto"/>
            <w:vAlign w:val="bottom"/>
            <w:hideMark/>
          </w:tcPr>
          <w:p w14:paraId="4DC0B439"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54,583</w:t>
            </w:r>
          </w:p>
        </w:tc>
        <w:tc>
          <w:tcPr>
            <w:tcW w:w="987" w:type="dxa"/>
            <w:tcBorders>
              <w:top w:val="nil"/>
              <w:left w:val="nil"/>
              <w:bottom w:val="single" w:sz="4" w:space="0" w:color="auto"/>
              <w:right w:val="single" w:sz="4" w:space="0" w:color="auto"/>
            </w:tcBorders>
            <w:shd w:val="clear" w:color="auto" w:fill="auto"/>
            <w:vAlign w:val="bottom"/>
            <w:hideMark/>
          </w:tcPr>
          <w:p w14:paraId="74CEC59F"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105,959</w:t>
            </w:r>
          </w:p>
        </w:tc>
        <w:tc>
          <w:tcPr>
            <w:tcW w:w="1501" w:type="dxa"/>
            <w:tcBorders>
              <w:top w:val="nil"/>
              <w:left w:val="nil"/>
              <w:bottom w:val="single" w:sz="4" w:space="0" w:color="auto"/>
              <w:right w:val="single" w:sz="4" w:space="0" w:color="auto"/>
            </w:tcBorders>
            <w:shd w:val="clear" w:color="auto" w:fill="auto"/>
            <w:vAlign w:val="bottom"/>
            <w:hideMark/>
          </w:tcPr>
          <w:p w14:paraId="3B805993"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34,356</w:t>
            </w:r>
          </w:p>
        </w:tc>
        <w:tc>
          <w:tcPr>
            <w:tcW w:w="1557" w:type="dxa"/>
            <w:tcBorders>
              <w:top w:val="nil"/>
              <w:left w:val="nil"/>
              <w:bottom w:val="single" w:sz="4" w:space="0" w:color="auto"/>
              <w:right w:val="single" w:sz="4" w:space="0" w:color="auto"/>
            </w:tcBorders>
            <w:shd w:val="clear" w:color="auto" w:fill="auto"/>
            <w:vAlign w:val="bottom"/>
            <w:hideMark/>
          </w:tcPr>
          <w:p w14:paraId="45F93D22"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$ 58.55</w:t>
            </w:r>
          </w:p>
        </w:tc>
        <w:tc>
          <w:tcPr>
            <w:tcW w:w="1418" w:type="dxa"/>
            <w:tcBorders>
              <w:top w:val="nil"/>
              <w:left w:val="nil"/>
              <w:bottom w:val="single" w:sz="4" w:space="0" w:color="auto"/>
              <w:right w:val="single" w:sz="4" w:space="0" w:color="auto"/>
            </w:tcBorders>
            <w:shd w:val="clear" w:color="auto" w:fill="auto"/>
            <w:vAlign w:val="bottom"/>
            <w:hideMark/>
          </w:tcPr>
          <w:p w14:paraId="05AB2E4D" w14:textId="77777777" w:rsidR="00EA4392" w:rsidRPr="00EA4392" w:rsidRDefault="00EA4392" w:rsidP="00EA4392">
            <w:pPr>
              <w:spacing w:before="120" w:after="120" w:line="264" w:lineRule="auto"/>
              <w:rPr>
                <w:rFonts w:eastAsia="Times New Roman" w:cs="Times New Roman"/>
                <w:sz w:val="20"/>
                <w:szCs w:val="20"/>
                <w:lang w:eastAsia="en-AU"/>
              </w:rPr>
            </w:pPr>
            <w:r w:rsidRPr="00EA4392">
              <w:rPr>
                <w:rFonts w:eastAsia="Times New Roman" w:cs="Times New Roman"/>
                <w:sz w:val="20"/>
                <w:szCs w:val="20"/>
                <w:lang w:eastAsia="en-AU"/>
              </w:rPr>
              <w:t>$2,011,535</w:t>
            </w:r>
          </w:p>
        </w:tc>
      </w:tr>
      <w:tr w:rsidR="00EA4392" w:rsidRPr="00EA4392" w14:paraId="414D1456" w14:textId="77777777" w:rsidTr="00FE4B75">
        <w:trPr>
          <w:trHeight w:val="285"/>
          <w:jc w:val="center"/>
        </w:trPr>
        <w:tc>
          <w:tcPr>
            <w:tcW w:w="839" w:type="dxa"/>
            <w:tcBorders>
              <w:top w:val="single" w:sz="4" w:space="0" w:color="auto"/>
              <w:left w:val="single" w:sz="4" w:space="0" w:color="auto"/>
              <w:bottom w:val="single" w:sz="4" w:space="0" w:color="auto"/>
              <w:right w:val="nil"/>
            </w:tcBorders>
            <w:shd w:val="clear" w:color="000000" w:fill="DDEBF7"/>
            <w:vAlign w:val="bottom"/>
            <w:hideMark/>
          </w:tcPr>
          <w:p w14:paraId="32F28D77" w14:textId="77777777" w:rsidR="00EA4392" w:rsidRPr="00EA4392" w:rsidRDefault="00EA4392" w:rsidP="00EA4392">
            <w:pPr>
              <w:spacing w:before="120" w:after="120" w:line="264" w:lineRule="auto"/>
              <w:rPr>
                <w:rFonts w:eastAsia="Times New Roman" w:cs="Times New Roman"/>
                <w:i/>
                <w:iCs/>
                <w:sz w:val="20"/>
                <w:szCs w:val="20"/>
                <w:lang w:eastAsia="en-AU"/>
              </w:rPr>
            </w:pPr>
            <w:r w:rsidRPr="00EA4392">
              <w:rPr>
                <w:rFonts w:eastAsia="Times New Roman" w:cs="Times New Roman"/>
                <w:i/>
                <w:iCs/>
                <w:sz w:val="20"/>
                <w:szCs w:val="20"/>
                <w:lang w:eastAsia="en-AU"/>
              </w:rPr>
              <w:t>Totals</w:t>
            </w:r>
          </w:p>
        </w:tc>
        <w:tc>
          <w:tcPr>
            <w:tcW w:w="864" w:type="dxa"/>
            <w:tcBorders>
              <w:top w:val="nil"/>
              <w:left w:val="single" w:sz="4" w:space="0" w:color="auto"/>
              <w:bottom w:val="single" w:sz="4" w:space="0" w:color="auto"/>
              <w:right w:val="single" w:sz="4" w:space="0" w:color="auto"/>
            </w:tcBorders>
            <w:shd w:val="clear" w:color="000000" w:fill="DDEBF7"/>
            <w:vAlign w:val="bottom"/>
            <w:hideMark/>
          </w:tcPr>
          <w:p w14:paraId="1E29EF44" w14:textId="77777777" w:rsidR="00EA4392" w:rsidRPr="00EA4392" w:rsidRDefault="00EA4392" w:rsidP="00EA4392">
            <w:pPr>
              <w:spacing w:before="120" w:after="120" w:line="264" w:lineRule="auto"/>
              <w:rPr>
                <w:rFonts w:eastAsia="Times New Roman" w:cs="Times New Roman"/>
                <w:i/>
                <w:iCs/>
                <w:sz w:val="20"/>
                <w:szCs w:val="20"/>
                <w:lang w:eastAsia="en-AU"/>
              </w:rPr>
            </w:pPr>
          </w:p>
        </w:tc>
        <w:tc>
          <w:tcPr>
            <w:tcW w:w="935" w:type="dxa"/>
            <w:tcBorders>
              <w:top w:val="nil"/>
              <w:left w:val="nil"/>
              <w:bottom w:val="single" w:sz="4" w:space="0" w:color="auto"/>
              <w:right w:val="single" w:sz="4" w:space="0" w:color="auto"/>
            </w:tcBorders>
            <w:shd w:val="clear" w:color="000000" w:fill="DDEBF7"/>
            <w:vAlign w:val="bottom"/>
            <w:hideMark/>
          </w:tcPr>
          <w:p w14:paraId="49CCBFCC" w14:textId="77777777" w:rsidR="00EA4392" w:rsidRPr="00EA4392" w:rsidRDefault="00EA4392" w:rsidP="00EA4392">
            <w:pPr>
              <w:spacing w:before="120" w:after="120" w:line="264" w:lineRule="auto"/>
              <w:rPr>
                <w:rFonts w:eastAsia="Times New Roman" w:cs="Times New Roman"/>
                <w:i/>
                <w:iCs/>
                <w:sz w:val="20"/>
                <w:szCs w:val="20"/>
                <w:lang w:eastAsia="en-AU"/>
              </w:rPr>
            </w:pPr>
          </w:p>
        </w:tc>
        <w:tc>
          <w:tcPr>
            <w:tcW w:w="1028" w:type="dxa"/>
            <w:tcBorders>
              <w:top w:val="nil"/>
              <w:left w:val="nil"/>
              <w:bottom w:val="single" w:sz="4" w:space="0" w:color="auto"/>
              <w:right w:val="single" w:sz="4" w:space="0" w:color="auto"/>
            </w:tcBorders>
            <w:shd w:val="clear" w:color="000000" w:fill="DDEBF7"/>
            <w:vAlign w:val="bottom"/>
            <w:hideMark/>
          </w:tcPr>
          <w:p w14:paraId="4EE6C282" w14:textId="77777777" w:rsidR="00EA4392" w:rsidRPr="00EA4392" w:rsidRDefault="00EA4392" w:rsidP="00EA4392">
            <w:pPr>
              <w:spacing w:before="120" w:after="120" w:line="264" w:lineRule="auto"/>
              <w:rPr>
                <w:rFonts w:eastAsia="Times New Roman" w:cs="Times New Roman"/>
                <w:i/>
                <w:iCs/>
                <w:sz w:val="20"/>
                <w:szCs w:val="20"/>
                <w:lang w:eastAsia="en-AU"/>
              </w:rPr>
            </w:pPr>
          </w:p>
        </w:tc>
        <w:tc>
          <w:tcPr>
            <w:tcW w:w="936" w:type="dxa"/>
            <w:tcBorders>
              <w:top w:val="nil"/>
              <w:left w:val="nil"/>
              <w:bottom w:val="single" w:sz="4" w:space="0" w:color="auto"/>
              <w:right w:val="single" w:sz="4" w:space="0" w:color="auto"/>
            </w:tcBorders>
            <w:shd w:val="clear" w:color="000000" w:fill="DDEBF7"/>
            <w:vAlign w:val="bottom"/>
            <w:hideMark/>
          </w:tcPr>
          <w:p w14:paraId="05C0E76C" w14:textId="77777777" w:rsidR="00EA4392" w:rsidRPr="00EA4392" w:rsidRDefault="00EA4392" w:rsidP="00EA4392">
            <w:pPr>
              <w:spacing w:before="120" w:after="120" w:line="264" w:lineRule="auto"/>
              <w:rPr>
                <w:rFonts w:eastAsia="Times New Roman" w:cs="Times New Roman"/>
                <w:i/>
                <w:iCs/>
                <w:sz w:val="20"/>
                <w:szCs w:val="20"/>
                <w:lang w:eastAsia="en-AU"/>
              </w:rPr>
            </w:pPr>
          </w:p>
        </w:tc>
        <w:tc>
          <w:tcPr>
            <w:tcW w:w="987" w:type="dxa"/>
            <w:tcBorders>
              <w:top w:val="nil"/>
              <w:left w:val="nil"/>
              <w:bottom w:val="single" w:sz="4" w:space="0" w:color="auto"/>
              <w:right w:val="single" w:sz="4" w:space="0" w:color="auto"/>
            </w:tcBorders>
            <w:shd w:val="clear" w:color="000000" w:fill="DDEBF7"/>
            <w:vAlign w:val="bottom"/>
            <w:hideMark/>
          </w:tcPr>
          <w:p w14:paraId="547AC6D1" w14:textId="77777777" w:rsidR="00EA4392" w:rsidRPr="00EA4392" w:rsidRDefault="00EA4392" w:rsidP="00EA4392">
            <w:pPr>
              <w:spacing w:before="120" w:after="120" w:line="264" w:lineRule="auto"/>
              <w:rPr>
                <w:rFonts w:eastAsia="Times New Roman" w:cs="Times New Roman"/>
                <w:i/>
                <w:iCs/>
                <w:sz w:val="20"/>
                <w:szCs w:val="20"/>
                <w:lang w:eastAsia="en-AU"/>
              </w:rPr>
            </w:pPr>
            <w:r w:rsidRPr="00EA4392">
              <w:rPr>
                <w:rFonts w:eastAsia="Times New Roman" w:cs="Times New Roman"/>
                <w:i/>
                <w:iCs/>
                <w:sz w:val="20"/>
                <w:szCs w:val="20"/>
                <w:lang w:eastAsia="en-AU"/>
              </w:rPr>
              <w:t>108,534</w:t>
            </w:r>
          </w:p>
        </w:tc>
        <w:tc>
          <w:tcPr>
            <w:tcW w:w="1501" w:type="dxa"/>
            <w:tcBorders>
              <w:top w:val="nil"/>
              <w:left w:val="nil"/>
              <w:bottom w:val="single" w:sz="4" w:space="0" w:color="auto"/>
              <w:right w:val="single" w:sz="4" w:space="0" w:color="auto"/>
            </w:tcBorders>
            <w:shd w:val="clear" w:color="000000" w:fill="DDEBF7"/>
            <w:vAlign w:val="bottom"/>
            <w:hideMark/>
          </w:tcPr>
          <w:p w14:paraId="052A1CB1" w14:textId="77777777" w:rsidR="00EA4392" w:rsidRPr="00EA4392" w:rsidRDefault="00EA4392" w:rsidP="00EA4392">
            <w:pPr>
              <w:spacing w:before="120" w:after="120" w:line="264" w:lineRule="auto"/>
              <w:rPr>
                <w:rFonts w:eastAsia="Times New Roman" w:cs="Times New Roman"/>
                <w:i/>
                <w:iCs/>
                <w:sz w:val="20"/>
                <w:szCs w:val="20"/>
                <w:lang w:eastAsia="en-AU"/>
              </w:rPr>
            </w:pPr>
            <w:r w:rsidRPr="00EA4392">
              <w:rPr>
                <w:rFonts w:eastAsia="Times New Roman" w:cs="Times New Roman"/>
                <w:i/>
                <w:iCs/>
                <w:sz w:val="20"/>
                <w:szCs w:val="20"/>
                <w:lang w:eastAsia="en-AU"/>
              </w:rPr>
              <w:t>35,191</w:t>
            </w:r>
          </w:p>
        </w:tc>
        <w:tc>
          <w:tcPr>
            <w:tcW w:w="1557" w:type="dxa"/>
            <w:tcBorders>
              <w:top w:val="nil"/>
              <w:left w:val="nil"/>
              <w:bottom w:val="single" w:sz="4" w:space="0" w:color="auto"/>
              <w:right w:val="single" w:sz="4" w:space="0" w:color="auto"/>
            </w:tcBorders>
            <w:shd w:val="clear" w:color="000000" w:fill="DDEBF7"/>
            <w:vAlign w:val="bottom"/>
            <w:hideMark/>
          </w:tcPr>
          <w:p w14:paraId="3B9B60D5" w14:textId="77777777" w:rsidR="00EA4392" w:rsidRPr="00EA4392" w:rsidRDefault="00EA4392" w:rsidP="00EA4392">
            <w:pPr>
              <w:spacing w:before="120" w:after="120" w:line="264" w:lineRule="auto"/>
              <w:rPr>
                <w:rFonts w:eastAsia="Times New Roman" w:cs="Times New Roman"/>
                <w:i/>
                <w:iCs/>
                <w:sz w:val="20"/>
                <w:szCs w:val="20"/>
                <w:lang w:eastAsia="en-AU"/>
              </w:rPr>
            </w:pPr>
          </w:p>
        </w:tc>
        <w:tc>
          <w:tcPr>
            <w:tcW w:w="1418" w:type="dxa"/>
            <w:tcBorders>
              <w:top w:val="nil"/>
              <w:left w:val="nil"/>
              <w:bottom w:val="single" w:sz="4" w:space="0" w:color="auto"/>
              <w:right w:val="single" w:sz="4" w:space="0" w:color="auto"/>
            </w:tcBorders>
            <w:shd w:val="clear" w:color="000000" w:fill="DDEBF7"/>
            <w:vAlign w:val="bottom"/>
            <w:hideMark/>
          </w:tcPr>
          <w:p w14:paraId="52DE9D80" w14:textId="77777777" w:rsidR="00EA4392" w:rsidRPr="00EA4392" w:rsidRDefault="00EA4392" w:rsidP="00EA4392">
            <w:pPr>
              <w:spacing w:before="120" w:after="120" w:line="264" w:lineRule="auto"/>
              <w:rPr>
                <w:rFonts w:eastAsia="Times New Roman" w:cs="Times New Roman"/>
                <w:i/>
                <w:iCs/>
                <w:sz w:val="20"/>
                <w:szCs w:val="20"/>
                <w:lang w:eastAsia="en-AU"/>
              </w:rPr>
            </w:pPr>
            <w:r w:rsidRPr="00EA4392">
              <w:rPr>
                <w:rFonts w:eastAsia="Times New Roman" w:cs="Times New Roman"/>
                <w:i/>
                <w:iCs/>
                <w:sz w:val="20"/>
                <w:szCs w:val="20"/>
                <w:lang w:eastAsia="en-AU"/>
              </w:rPr>
              <w:t>$2,060,417</w:t>
            </w:r>
          </w:p>
        </w:tc>
      </w:tr>
    </w:tbl>
    <w:p w14:paraId="4512031B" w14:textId="77777777" w:rsidR="00EA4392" w:rsidRPr="00EA4392" w:rsidRDefault="00EA4392" w:rsidP="00EA4392">
      <w:pPr>
        <w:spacing w:before="120" w:after="120" w:line="264" w:lineRule="auto"/>
        <w:rPr>
          <w:rFonts w:eastAsia="Times New Roman" w:cs="Times New Roman"/>
          <w:sz w:val="16"/>
          <w:szCs w:val="16"/>
          <w:lang w:eastAsia="en-AU"/>
        </w:rPr>
      </w:pPr>
      <w:r w:rsidRPr="00EA4392">
        <w:rPr>
          <w:rFonts w:eastAsia="Times New Roman" w:cs="Times New Roman"/>
          <w:sz w:val="16"/>
          <w:szCs w:val="16"/>
          <w:lang w:eastAsia="en-AU"/>
        </w:rPr>
        <w:t xml:space="preserve"># </w:t>
      </w:r>
      <w:proofErr w:type="gramStart"/>
      <w:r w:rsidRPr="00EA4392">
        <w:rPr>
          <w:rFonts w:eastAsia="Times New Roman" w:cs="Times New Roman"/>
          <w:sz w:val="16"/>
          <w:szCs w:val="16"/>
          <w:lang w:eastAsia="en-AU"/>
        </w:rPr>
        <w:t>for</w:t>
      </w:r>
      <w:proofErr w:type="gramEnd"/>
      <w:r w:rsidRPr="00EA4392">
        <w:rPr>
          <w:rFonts w:eastAsia="Times New Roman" w:cs="Times New Roman"/>
          <w:sz w:val="16"/>
          <w:szCs w:val="16"/>
          <w:lang w:eastAsia="en-AU"/>
        </w:rPr>
        <w:t xml:space="preserve"> this figure, population growth figures were utilised and then factored down by 68% in the 45-64 age group and 48% in the 65+ age group to accommodate the proportion of those populations already receiving optometric eye examinations, and then for the 45-64 age group it was assumed that only one comprehensive eye examination was performed every 3 years, as per current MBS restrictions. </w:t>
      </w:r>
    </w:p>
    <w:p w14:paraId="34DC1269" w14:textId="77777777" w:rsidR="00EA4392" w:rsidRPr="00EA4392" w:rsidRDefault="00EA4392" w:rsidP="00EA4392">
      <w:pPr>
        <w:spacing w:before="120" w:after="120" w:line="264" w:lineRule="auto"/>
        <w:rPr>
          <w:rFonts w:eastAsia="Times New Roman" w:cs="Times New Roman"/>
          <w:sz w:val="22"/>
          <w:szCs w:val="24"/>
          <w:lang w:eastAsia="en-AU"/>
        </w:rPr>
      </w:pPr>
      <w:r w:rsidRPr="00EA4392">
        <w:rPr>
          <w:rFonts w:eastAsia="Times New Roman" w:cs="Times New Roman"/>
          <w:sz w:val="22"/>
          <w:szCs w:val="24"/>
          <w:lang w:eastAsia="en-AU"/>
        </w:rPr>
        <w:t xml:space="preserve">Note that the estimate demand growth in Table Three assumes that all persons at risk are identified, referred and attend follow up eye care.  This is unlikely to be so, and hence the figure provided likely overestimate the number of additional eye examinations that would be delivered but to date, an appropriate benchmark measure for this purpose has not been identified.  </w:t>
      </w:r>
    </w:p>
    <w:p w14:paraId="79BB1E7B" w14:textId="77777777" w:rsidR="00EA4392" w:rsidRPr="00EA4392" w:rsidRDefault="00EA4392" w:rsidP="00EA4392">
      <w:pPr>
        <w:spacing w:before="120" w:after="120" w:line="264" w:lineRule="auto"/>
        <w:rPr>
          <w:rFonts w:eastAsia="Times New Roman" w:cs="Times New Roman"/>
          <w:sz w:val="22"/>
          <w:szCs w:val="24"/>
          <w:lang w:eastAsia="en-AU"/>
        </w:rPr>
      </w:pPr>
      <w:bookmarkStart w:id="13" w:name="_Hlk74058874"/>
      <w:r w:rsidRPr="00EA4392">
        <w:rPr>
          <w:rFonts w:eastAsia="Times New Roman" w:cs="Times New Roman"/>
          <w:sz w:val="22"/>
          <w:szCs w:val="24"/>
          <w:lang w:eastAsia="en-AU"/>
        </w:rPr>
        <w:t xml:space="preserve">The cost of delivering those additional 35,191 examinations would be around $2.06M per annum (MBS rebate for comprehensive optometry examinations is $58.55). </w:t>
      </w:r>
    </w:p>
    <w:p w14:paraId="02273E33" w14:textId="42A2AFB1" w:rsidR="00DE3202" w:rsidRPr="00DE3202" w:rsidRDefault="00EA4392" w:rsidP="00D066DA">
      <w:pPr>
        <w:spacing w:before="120" w:after="120" w:line="264" w:lineRule="auto"/>
      </w:pPr>
      <w:r w:rsidRPr="00EA4392">
        <w:rPr>
          <w:rFonts w:eastAsia="Times New Roman" w:cs="Times New Roman"/>
          <w:sz w:val="22"/>
          <w:szCs w:val="24"/>
          <w:lang w:eastAsia="en-AU"/>
        </w:rPr>
        <w:t>The estimated cost of vision loss per Australian is up to $35,800 per annum, hence the total cost of not incorporating this change (around $1,231 billion) far outweighs the cost of additional MBS items.</w:t>
      </w:r>
      <w:bookmarkEnd w:id="13"/>
    </w:p>
    <w:sectPr w:rsidR="00DE3202" w:rsidRPr="00DE3202" w:rsidSect="00CF1EFE">
      <w:headerReference w:type="default" r:id="rId9"/>
      <w:footerReference w:type="default" r:id="rId10"/>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9D96D" w14:textId="77777777" w:rsidR="00EA4392" w:rsidRDefault="00EA4392" w:rsidP="00185154">
      <w:r>
        <w:separator/>
      </w:r>
    </w:p>
    <w:p w14:paraId="2206E797" w14:textId="77777777" w:rsidR="00EA4392" w:rsidRDefault="00EA4392"/>
  </w:endnote>
  <w:endnote w:type="continuationSeparator" w:id="0">
    <w:p w14:paraId="634878E7" w14:textId="77777777" w:rsidR="00EA4392" w:rsidRDefault="00EA4392" w:rsidP="00185154">
      <w:r>
        <w:continuationSeparator/>
      </w:r>
    </w:p>
    <w:p w14:paraId="6E5333B8" w14:textId="77777777" w:rsidR="00EA4392" w:rsidRDefault="00EA43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736834567"/>
      <w:docPartObj>
        <w:docPartGallery w:val="Page Numbers (Bottom of Page)"/>
        <w:docPartUnique/>
      </w:docPartObj>
    </w:sdtPr>
    <w:sdtEndPr>
      <w:rPr>
        <w:noProof/>
      </w:rPr>
    </w:sdtEndPr>
    <w:sdtContent>
      <w:p w14:paraId="3F9D51D3" w14:textId="19776F50" w:rsidR="00EA4392" w:rsidRDefault="00EA4392">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03C39738" w14:textId="77777777" w:rsidR="00EA4392" w:rsidRDefault="00EA43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9EEF0" w14:textId="77777777" w:rsidR="00EA4392" w:rsidRDefault="00EA4392" w:rsidP="00185154">
      <w:r>
        <w:separator/>
      </w:r>
    </w:p>
    <w:p w14:paraId="64A040CF" w14:textId="77777777" w:rsidR="00EA4392" w:rsidRDefault="00EA4392"/>
  </w:footnote>
  <w:footnote w:type="continuationSeparator" w:id="0">
    <w:p w14:paraId="0FF39FBF" w14:textId="77777777" w:rsidR="00EA4392" w:rsidRDefault="00EA4392" w:rsidP="00185154">
      <w:r>
        <w:continuationSeparator/>
      </w:r>
    </w:p>
    <w:p w14:paraId="1044126B" w14:textId="77777777" w:rsidR="00EA4392" w:rsidRDefault="00EA4392"/>
  </w:footnote>
  <w:footnote w:id="1">
    <w:p w14:paraId="3BE17012" w14:textId="77777777" w:rsidR="00EA4392" w:rsidRPr="00C57ABA" w:rsidRDefault="00EA4392" w:rsidP="00EA4392">
      <w:pPr>
        <w:pStyle w:val="FootnoteText"/>
        <w:rPr>
          <w:lang w:val="en-US"/>
        </w:rPr>
      </w:pPr>
      <w:r>
        <w:rPr>
          <w:rStyle w:val="FootnoteReference"/>
        </w:rPr>
        <w:footnoteRef/>
      </w:r>
      <w:r>
        <w:t xml:space="preserve"> </w:t>
      </w:r>
      <w:r>
        <w:rPr>
          <w:lang w:val="en-US"/>
        </w:rPr>
        <w:t>World report on vision</w:t>
      </w:r>
    </w:p>
  </w:footnote>
  <w:footnote w:id="2">
    <w:p w14:paraId="52953735" w14:textId="77777777" w:rsidR="00EA4392" w:rsidRPr="00C57ABA" w:rsidRDefault="00EA4392" w:rsidP="00EA4392">
      <w:pPr>
        <w:pStyle w:val="FootnoteText"/>
        <w:rPr>
          <w:lang w:val="en-US"/>
        </w:rPr>
      </w:pPr>
      <w:r>
        <w:rPr>
          <w:rStyle w:val="FootnoteReference"/>
        </w:rPr>
        <w:footnoteRef/>
      </w:r>
      <w:r>
        <w:t xml:space="preserve"> </w:t>
      </w:r>
      <w:r>
        <w:rPr>
          <w:lang w:val="en-US"/>
        </w:rPr>
        <w:t>Lancet Global Health</w:t>
      </w:r>
    </w:p>
  </w:footnote>
  <w:footnote w:id="3">
    <w:p w14:paraId="4173CFD5" w14:textId="77777777" w:rsidR="00EA4392" w:rsidRPr="00C57ABA" w:rsidRDefault="00EA4392" w:rsidP="00EA4392">
      <w:pPr>
        <w:pStyle w:val="FootnoteText"/>
        <w:rPr>
          <w:lang w:val="en-US"/>
        </w:rPr>
      </w:pPr>
      <w:r>
        <w:rPr>
          <w:rStyle w:val="FootnoteReference"/>
        </w:rPr>
        <w:footnoteRef/>
      </w:r>
      <w:r>
        <w:t xml:space="preserve"> </w:t>
      </w:r>
      <w:r>
        <w:rPr>
          <w:lang w:val="en-US"/>
        </w:rPr>
        <w:t>World Health Organisation</w:t>
      </w:r>
    </w:p>
  </w:footnote>
  <w:footnote w:id="4">
    <w:p w14:paraId="12F90795" w14:textId="77777777" w:rsidR="00EA4392" w:rsidRDefault="00EA4392" w:rsidP="00EA4392">
      <w:pPr>
        <w:pStyle w:val="BodyText"/>
        <w:spacing w:before="0" w:after="0"/>
      </w:pPr>
      <w:r>
        <w:rPr>
          <w:rStyle w:val="FootnoteReference"/>
        </w:rPr>
        <w:footnoteRef/>
      </w:r>
      <w:r>
        <w:t xml:space="preserve"> </w:t>
      </w:r>
      <w:r w:rsidRPr="00F83037">
        <w:rPr>
          <w:rFonts w:eastAsiaTheme="minorHAnsi" w:cstheme="minorBidi"/>
          <w:sz w:val="20"/>
          <w:szCs w:val="20"/>
          <w:lang w:val="en-US" w:eastAsia="en-US"/>
        </w:rPr>
        <w:t>There are also policy imperatives to address this issue. For example, cataract and uncorrected refractive error are two of the leading causes of that vision loss, both of which can be treated through relatively low cost, highly effective interventions, and Australia is a signatory to global eye health targets aimed at increasing treatment for these.</w:t>
      </w:r>
      <w:r>
        <w:t xml:space="preserve"> </w:t>
      </w:r>
    </w:p>
    <w:p w14:paraId="76A49380" w14:textId="77777777" w:rsidR="00EA4392" w:rsidRPr="00F83037" w:rsidRDefault="00EA4392" w:rsidP="00EA4392">
      <w:pPr>
        <w:pStyle w:val="FootnoteText"/>
        <w:rPr>
          <w:lang w:val="en-US"/>
        </w:rPr>
      </w:pPr>
    </w:p>
  </w:footnote>
  <w:footnote w:id="5">
    <w:p w14:paraId="22BB946E" w14:textId="77777777" w:rsidR="00EA4392" w:rsidRPr="00196B7D" w:rsidRDefault="00EA4392" w:rsidP="00EA4392">
      <w:pPr>
        <w:pStyle w:val="FootnoteText"/>
        <w:rPr>
          <w:lang w:val="en-US"/>
        </w:rPr>
      </w:pPr>
      <w:r>
        <w:rPr>
          <w:rStyle w:val="FootnoteReference"/>
        </w:rPr>
        <w:footnoteRef/>
      </w:r>
      <w:r>
        <w:t xml:space="preserve"> </w:t>
      </w:r>
      <w:hyperlink r:id="rId1" w:history="1">
        <w:r>
          <w:rPr>
            <w:rStyle w:val="Hyperlink"/>
          </w:rPr>
          <w:t>Guidelines-for-preventive-activities-in-general-practice.pdf (racgp.org.au)</w:t>
        </w:r>
      </w:hyperlink>
      <w:r>
        <w:t xml:space="preserve"> (accessed 29 June 2021)</w:t>
      </w:r>
    </w:p>
  </w:footnote>
  <w:footnote w:id="6">
    <w:p w14:paraId="7B47B2CC" w14:textId="77777777" w:rsidR="00EA4392" w:rsidRDefault="00EA4392" w:rsidP="00EA4392">
      <w:pPr>
        <w:pStyle w:val="FootnoteText"/>
      </w:pPr>
      <w:r>
        <w:rPr>
          <w:rStyle w:val="FootnoteReference"/>
        </w:rPr>
        <w:footnoteRef/>
      </w:r>
      <w:r>
        <w:t xml:space="preserve"> As above</w:t>
      </w:r>
    </w:p>
  </w:footnote>
  <w:footnote w:id="7">
    <w:p w14:paraId="08A34874" w14:textId="77777777" w:rsidR="00EA4392" w:rsidRDefault="00EA4392" w:rsidP="00EA4392">
      <w:pPr>
        <w:pStyle w:val="FootnoteText"/>
      </w:pPr>
      <w:r>
        <w:rPr>
          <w:rStyle w:val="FootnoteReference"/>
        </w:rPr>
        <w:footnoteRef/>
      </w:r>
      <w:r>
        <w:t xml:space="preserve"> As above</w:t>
      </w:r>
    </w:p>
  </w:footnote>
  <w:footnote w:id="8">
    <w:p w14:paraId="7B1F45DB" w14:textId="77777777" w:rsidR="00EA4392" w:rsidRDefault="00EA4392" w:rsidP="00EA4392">
      <w:pPr>
        <w:pStyle w:val="FootnoteText"/>
      </w:pPr>
      <w:r>
        <w:rPr>
          <w:rStyle w:val="FootnoteReference"/>
        </w:rPr>
        <w:footnoteRef/>
      </w:r>
      <w:r>
        <w:t xml:space="preserve"> As above</w:t>
      </w:r>
    </w:p>
  </w:footnote>
  <w:footnote w:id="9">
    <w:p w14:paraId="79C7D9D7" w14:textId="77777777" w:rsidR="00EA4392" w:rsidRDefault="00EA4392" w:rsidP="00EA4392">
      <w:pPr>
        <w:pStyle w:val="FootnoteText"/>
      </w:pPr>
      <w:r>
        <w:rPr>
          <w:rStyle w:val="FootnoteReference"/>
        </w:rPr>
        <w:footnoteRef/>
      </w:r>
      <w:r>
        <w:t xml:space="preserve"> As above</w:t>
      </w:r>
    </w:p>
  </w:footnote>
  <w:footnote w:id="10">
    <w:p w14:paraId="02FD13E8" w14:textId="77777777" w:rsidR="00EA4392" w:rsidRPr="00144BE4" w:rsidRDefault="00EA4392" w:rsidP="00EA4392">
      <w:pPr>
        <w:pStyle w:val="FootnoteText"/>
        <w:rPr>
          <w:lang w:val="en-US"/>
        </w:rPr>
      </w:pPr>
      <w:r>
        <w:rPr>
          <w:rStyle w:val="FootnoteReference"/>
        </w:rPr>
        <w:footnoteRef/>
      </w:r>
      <w:r>
        <w:t xml:space="preserve"> </w:t>
      </w:r>
      <w:r>
        <w:rPr>
          <w:lang w:val="en-US"/>
        </w:rPr>
        <w:t>T</w:t>
      </w:r>
      <w:r w:rsidRPr="00144BE4">
        <w:rPr>
          <w:lang w:val="en-US"/>
        </w:rPr>
        <w:t>he full list of permitted recipients</w:t>
      </w:r>
      <w:r>
        <w:rPr>
          <w:lang w:val="en-US"/>
        </w:rPr>
        <w:t xml:space="preserve"> of MBS Items 701, 703, 705 and 707</w:t>
      </w:r>
      <w:r w:rsidRPr="00144BE4">
        <w:rPr>
          <w:lang w:val="en-US"/>
        </w:rPr>
        <w:t xml:space="preserve"> is at Appendix </w:t>
      </w:r>
      <w:r>
        <w:rPr>
          <w:lang w:val="en-US"/>
        </w:rPr>
        <w:t>A</w:t>
      </w:r>
    </w:p>
  </w:footnote>
  <w:footnote w:id="11">
    <w:p w14:paraId="41F15611" w14:textId="77777777" w:rsidR="00EA4392" w:rsidRPr="00F83037" w:rsidRDefault="00EA4392" w:rsidP="00EA4392">
      <w:pPr>
        <w:pStyle w:val="FootnoteText"/>
        <w:rPr>
          <w:lang w:val="en-US"/>
        </w:rPr>
      </w:pPr>
      <w:r>
        <w:rPr>
          <w:rStyle w:val="FootnoteReference"/>
        </w:rPr>
        <w:footnoteRef/>
      </w:r>
      <w:r>
        <w:t xml:space="preserve"> </w:t>
      </w:r>
      <w:r>
        <w:rPr>
          <w:lang w:val="en-US"/>
        </w:rPr>
        <w:t xml:space="preserve">Note that these changes are not proposed to people who have an intellectual disability who, under current arrangements are required to have an assessment of ocular health as part of their chronic health check.  </w:t>
      </w:r>
    </w:p>
  </w:footnote>
  <w:footnote w:id="12">
    <w:p w14:paraId="627F9927" w14:textId="77777777" w:rsidR="00EA4392" w:rsidRDefault="00EA4392" w:rsidP="00EA4392">
      <w:pPr>
        <w:pStyle w:val="FootnoteText"/>
      </w:pPr>
      <w:r>
        <w:rPr>
          <w:rStyle w:val="FootnoteReference"/>
        </w:rPr>
        <w:footnoteRef/>
      </w:r>
      <w:r>
        <w:t xml:space="preserve"> This calculation has used prevalence rates from the Clear Focus report to enable calculations by </w:t>
      </w:r>
      <w:proofErr w:type="gramStart"/>
      <w:r>
        <w:t>10 year</w:t>
      </w:r>
      <w:proofErr w:type="gramEnd"/>
      <w:r>
        <w:t xml:space="preserve"> age cohorts.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5DD90" w14:textId="075C9EF0" w:rsidR="00EA4392" w:rsidRDefault="00EA4392" w:rsidP="00EA4392">
    <w:pPr>
      <w:pStyle w:val="Header"/>
      <w:jc w:val="right"/>
    </w:pPr>
    <w:r>
      <w:rPr>
        <w:noProof/>
      </w:rPr>
      <w:drawing>
        <wp:inline distT="0" distB="0" distL="0" distR="0" wp14:anchorId="1CE58F03" wp14:editId="1580C044">
          <wp:extent cx="1078865" cy="774065"/>
          <wp:effectExtent l="0" t="0" r="698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7740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pStyle w:val="ListAlpha5"/>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3" w15:restartNumberingAfterBreak="0">
    <w:nsid w:val="0DA80F0C"/>
    <w:multiLevelType w:val="hybridMultilevel"/>
    <w:tmpl w:val="EBDC0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5E645C"/>
    <w:multiLevelType w:val="hybridMultilevel"/>
    <w:tmpl w:val="EA02F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B536482"/>
    <w:multiLevelType w:val="multilevel"/>
    <w:tmpl w:val="2FAA1644"/>
    <w:numStyleLink w:val="ListNumber"/>
  </w:abstractNum>
  <w:abstractNum w:abstractNumId="6"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15:restartNumberingAfterBreak="0">
    <w:nsid w:val="313320F8"/>
    <w:multiLevelType w:val="hybridMultilevel"/>
    <w:tmpl w:val="0C5449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9" w15:restartNumberingAfterBreak="0">
    <w:nsid w:val="3BBB27E4"/>
    <w:multiLevelType w:val="hybridMultilevel"/>
    <w:tmpl w:val="0DEA3B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32"/>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8"/>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1" w15:restartNumberingAfterBreak="0">
    <w:nsid w:val="456041F1"/>
    <w:multiLevelType w:val="multilevel"/>
    <w:tmpl w:val="6706DB1E"/>
    <w:numStyleLink w:val="ListAlpha"/>
  </w:abstractNum>
  <w:abstractNum w:abstractNumId="12" w15:restartNumberingAfterBreak="0">
    <w:nsid w:val="46EC13C2"/>
    <w:multiLevelType w:val="hybridMultilevel"/>
    <w:tmpl w:val="47DC188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DB0627A"/>
    <w:multiLevelType w:val="multilevel"/>
    <w:tmpl w:val="626C565E"/>
    <w:numStyleLink w:val="ListTableBullet"/>
  </w:abstractNum>
  <w:abstractNum w:abstractNumId="14"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5" w15:restartNumberingAfterBreak="0">
    <w:nsid w:val="6DAE7D5E"/>
    <w:multiLevelType w:val="hybridMultilevel"/>
    <w:tmpl w:val="AC56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D84F71"/>
    <w:multiLevelType w:val="multilevel"/>
    <w:tmpl w:val="BDFC207A"/>
    <w:numStyleLink w:val="ListTableNumber"/>
  </w:abstractNum>
  <w:abstractNum w:abstractNumId="17" w15:restartNumberingAfterBreak="0">
    <w:nsid w:val="7139706E"/>
    <w:multiLevelType w:val="multilevel"/>
    <w:tmpl w:val="11C64328"/>
    <w:numStyleLink w:val="ListParagraph"/>
  </w:abstractNum>
  <w:abstractNum w:abstractNumId="18" w15:restartNumberingAfterBreak="0">
    <w:nsid w:val="7CC726CD"/>
    <w:multiLevelType w:val="hybridMultilevel"/>
    <w:tmpl w:val="80ACBB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D5443C1"/>
    <w:multiLevelType w:val="hybridMultilevel"/>
    <w:tmpl w:val="1F320A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1" w15:restartNumberingAfterBreak="0">
    <w:nsid w:val="7F6507F9"/>
    <w:multiLevelType w:val="multilevel"/>
    <w:tmpl w:val="A62A2188"/>
    <w:numStyleLink w:val="ListNumberedHeadings"/>
  </w:abstractNum>
  <w:num w:numId="1">
    <w:abstractNumId w:val="1"/>
  </w:num>
  <w:num w:numId="2">
    <w:abstractNumId w:val="20"/>
  </w:num>
  <w:num w:numId="3">
    <w:abstractNumId w:val="6"/>
  </w:num>
  <w:num w:numId="4">
    <w:abstractNumId w:val="10"/>
  </w:num>
  <w:num w:numId="5">
    <w:abstractNumId w:val="0"/>
  </w:num>
  <w:num w:numId="6">
    <w:abstractNumId w:val="2"/>
  </w:num>
  <w:num w:numId="7">
    <w:abstractNumId w:val="14"/>
  </w:num>
  <w:num w:numId="8">
    <w:abstractNumId w:val="17"/>
  </w:num>
  <w:num w:numId="9">
    <w:abstractNumId w:val="8"/>
  </w:num>
  <w:num w:numId="10">
    <w:abstractNumId w:val="11"/>
  </w:num>
  <w:num w:numId="11">
    <w:abstractNumId w:val="5"/>
  </w:num>
  <w:num w:numId="12">
    <w:abstractNumId w:val="16"/>
  </w:num>
  <w:num w:numId="13">
    <w:abstractNumId w:val="21"/>
  </w:num>
  <w:num w:numId="14">
    <w:abstractNumId w:val="8"/>
  </w:num>
  <w:num w:numId="15">
    <w:abstractNumId w:val="13"/>
  </w:num>
  <w:num w:numId="16">
    <w:abstractNumId w:val="15"/>
  </w:num>
  <w:num w:numId="17">
    <w:abstractNumId w:val="18"/>
  </w:num>
  <w:num w:numId="18">
    <w:abstractNumId w:val="9"/>
  </w:num>
  <w:num w:numId="19">
    <w:abstractNumId w:val="19"/>
  </w:num>
  <w:num w:numId="20">
    <w:abstractNumId w:val="7"/>
  </w:num>
  <w:num w:numId="21">
    <w:abstractNumId w:val="3"/>
  </w:num>
  <w:num w:numId="22">
    <w:abstractNumId w:val="1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392"/>
    <w:rsid w:val="00006100"/>
    <w:rsid w:val="00025426"/>
    <w:rsid w:val="000358CA"/>
    <w:rsid w:val="000427B8"/>
    <w:rsid w:val="000448D9"/>
    <w:rsid w:val="00060C40"/>
    <w:rsid w:val="00071C7D"/>
    <w:rsid w:val="00072EC2"/>
    <w:rsid w:val="00076F97"/>
    <w:rsid w:val="000870BB"/>
    <w:rsid w:val="00087D93"/>
    <w:rsid w:val="000942CA"/>
    <w:rsid w:val="000A16E2"/>
    <w:rsid w:val="000B0BC8"/>
    <w:rsid w:val="000B3EBE"/>
    <w:rsid w:val="000B6FA1"/>
    <w:rsid w:val="000C0C22"/>
    <w:rsid w:val="000C1D1E"/>
    <w:rsid w:val="000C5684"/>
    <w:rsid w:val="000D5332"/>
    <w:rsid w:val="000F4A35"/>
    <w:rsid w:val="001063C6"/>
    <w:rsid w:val="0013218E"/>
    <w:rsid w:val="00145CCD"/>
    <w:rsid w:val="001505D8"/>
    <w:rsid w:val="00154790"/>
    <w:rsid w:val="00156423"/>
    <w:rsid w:val="001600E5"/>
    <w:rsid w:val="001829A7"/>
    <w:rsid w:val="00185121"/>
    <w:rsid w:val="00185154"/>
    <w:rsid w:val="0019114D"/>
    <w:rsid w:val="001A459E"/>
    <w:rsid w:val="001B2140"/>
    <w:rsid w:val="001C04F8"/>
    <w:rsid w:val="001D45CC"/>
    <w:rsid w:val="001F16CA"/>
    <w:rsid w:val="002078C1"/>
    <w:rsid w:val="002106C4"/>
    <w:rsid w:val="00210DEF"/>
    <w:rsid w:val="00222215"/>
    <w:rsid w:val="00227B3F"/>
    <w:rsid w:val="00230355"/>
    <w:rsid w:val="0025119D"/>
    <w:rsid w:val="00252201"/>
    <w:rsid w:val="00254DD8"/>
    <w:rsid w:val="00291FEC"/>
    <w:rsid w:val="002A590E"/>
    <w:rsid w:val="002B121E"/>
    <w:rsid w:val="002B4003"/>
    <w:rsid w:val="002C5B1C"/>
    <w:rsid w:val="002D4062"/>
    <w:rsid w:val="002D4254"/>
    <w:rsid w:val="002D4E6E"/>
    <w:rsid w:val="002E7819"/>
    <w:rsid w:val="002F24B1"/>
    <w:rsid w:val="002F25F1"/>
    <w:rsid w:val="002F2F7A"/>
    <w:rsid w:val="002F4862"/>
    <w:rsid w:val="00301893"/>
    <w:rsid w:val="00311C33"/>
    <w:rsid w:val="0031239C"/>
    <w:rsid w:val="003411DD"/>
    <w:rsid w:val="0037398C"/>
    <w:rsid w:val="0037618F"/>
    <w:rsid w:val="003853C1"/>
    <w:rsid w:val="003855C2"/>
    <w:rsid w:val="00396860"/>
    <w:rsid w:val="003A04C1"/>
    <w:rsid w:val="003A08A5"/>
    <w:rsid w:val="003A3117"/>
    <w:rsid w:val="003B0945"/>
    <w:rsid w:val="003B097F"/>
    <w:rsid w:val="003B4DCF"/>
    <w:rsid w:val="003D3B71"/>
    <w:rsid w:val="003D56AF"/>
    <w:rsid w:val="003E1EF3"/>
    <w:rsid w:val="003E269E"/>
    <w:rsid w:val="003E2E43"/>
    <w:rsid w:val="003E5319"/>
    <w:rsid w:val="003F467F"/>
    <w:rsid w:val="00404615"/>
    <w:rsid w:val="004066A7"/>
    <w:rsid w:val="00407776"/>
    <w:rsid w:val="004254BC"/>
    <w:rsid w:val="00427353"/>
    <w:rsid w:val="0043564D"/>
    <w:rsid w:val="0043628A"/>
    <w:rsid w:val="00444AE6"/>
    <w:rsid w:val="004478FD"/>
    <w:rsid w:val="004515AD"/>
    <w:rsid w:val="0045173A"/>
    <w:rsid w:val="004633C8"/>
    <w:rsid w:val="004700B3"/>
    <w:rsid w:val="00491C59"/>
    <w:rsid w:val="004B7DAE"/>
    <w:rsid w:val="004E79A4"/>
    <w:rsid w:val="004F2A3C"/>
    <w:rsid w:val="004F3D6F"/>
    <w:rsid w:val="0051056D"/>
    <w:rsid w:val="005331C9"/>
    <w:rsid w:val="0055219D"/>
    <w:rsid w:val="0055353F"/>
    <w:rsid w:val="0055712E"/>
    <w:rsid w:val="0056633F"/>
    <w:rsid w:val="005713E5"/>
    <w:rsid w:val="0058605D"/>
    <w:rsid w:val="00595971"/>
    <w:rsid w:val="005A435A"/>
    <w:rsid w:val="005B0C40"/>
    <w:rsid w:val="005D15BB"/>
    <w:rsid w:val="005D620B"/>
    <w:rsid w:val="005E259B"/>
    <w:rsid w:val="005E7717"/>
    <w:rsid w:val="006025ED"/>
    <w:rsid w:val="006078C2"/>
    <w:rsid w:val="0061089F"/>
    <w:rsid w:val="006209B4"/>
    <w:rsid w:val="00627256"/>
    <w:rsid w:val="00633235"/>
    <w:rsid w:val="00635822"/>
    <w:rsid w:val="0065325A"/>
    <w:rsid w:val="00674316"/>
    <w:rsid w:val="00684E74"/>
    <w:rsid w:val="006A1801"/>
    <w:rsid w:val="006A7141"/>
    <w:rsid w:val="006D22C5"/>
    <w:rsid w:val="006E7D1F"/>
    <w:rsid w:val="00701D48"/>
    <w:rsid w:val="00706376"/>
    <w:rsid w:val="00710106"/>
    <w:rsid w:val="00733354"/>
    <w:rsid w:val="00757A95"/>
    <w:rsid w:val="007606BC"/>
    <w:rsid w:val="00770BF1"/>
    <w:rsid w:val="00774E81"/>
    <w:rsid w:val="0079432C"/>
    <w:rsid w:val="00794B84"/>
    <w:rsid w:val="00797C82"/>
    <w:rsid w:val="007A2CA5"/>
    <w:rsid w:val="007A5346"/>
    <w:rsid w:val="007B1B14"/>
    <w:rsid w:val="007D36E6"/>
    <w:rsid w:val="007D37D3"/>
    <w:rsid w:val="00817D6F"/>
    <w:rsid w:val="00822503"/>
    <w:rsid w:val="00845732"/>
    <w:rsid w:val="008572D9"/>
    <w:rsid w:val="00861E13"/>
    <w:rsid w:val="00892496"/>
    <w:rsid w:val="008A6F22"/>
    <w:rsid w:val="008B17B1"/>
    <w:rsid w:val="008B5D8F"/>
    <w:rsid w:val="008F4E0B"/>
    <w:rsid w:val="00907866"/>
    <w:rsid w:val="009142FE"/>
    <w:rsid w:val="009453E1"/>
    <w:rsid w:val="009571D7"/>
    <w:rsid w:val="00976FBA"/>
    <w:rsid w:val="00984C50"/>
    <w:rsid w:val="009A199C"/>
    <w:rsid w:val="009A1E0A"/>
    <w:rsid w:val="009C4BA9"/>
    <w:rsid w:val="009E3BCF"/>
    <w:rsid w:val="009E539B"/>
    <w:rsid w:val="009F6CE7"/>
    <w:rsid w:val="00A04C49"/>
    <w:rsid w:val="00A07960"/>
    <w:rsid w:val="00A10D2C"/>
    <w:rsid w:val="00A3479E"/>
    <w:rsid w:val="00A41250"/>
    <w:rsid w:val="00A41D4E"/>
    <w:rsid w:val="00A50A7D"/>
    <w:rsid w:val="00A52A8F"/>
    <w:rsid w:val="00A63844"/>
    <w:rsid w:val="00A640FF"/>
    <w:rsid w:val="00A64CB3"/>
    <w:rsid w:val="00A711F0"/>
    <w:rsid w:val="00A83B38"/>
    <w:rsid w:val="00A85DAC"/>
    <w:rsid w:val="00AA6010"/>
    <w:rsid w:val="00AC3F87"/>
    <w:rsid w:val="00AC65C5"/>
    <w:rsid w:val="00AD6EC2"/>
    <w:rsid w:val="00AE4C26"/>
    <w:rsid w:val="00AF2204"/>
    <w:rsid w:val="00B012F3"/>
    <w:rsid w:val="00B1273F"/>
    <w:rsid w:val="00B53493"/>
    <w:rsid w:val="00B55D18"/>
    <w:rsid w:val="00B56CC8"/>
    <w:rsid w:val="00B65281"/>
    <w:rsid w:val="00B655C6"/>
    <w:rsid w:val="00B668FB"/>
    <w:rsid w:val="00B76B56"/>
    <w:rsid w:val="00B76B8E"/>
    <w:rsid w:val="00B8347A"/>
    <w:rsid w:val="00BA45AE"/>
    <w:rsid w:val="00BA4F4A"/>
    <w:rsid w:val="00BA66AD"/>
    <w:rsid w:val="00BB49AA"/>
    <w:rsid w:val="00BC2DD3"/>
    <w:rsid w:val="00BC67B1"/>
    <w:rsid w:val="00BD46D2"/>
    <w:rsid w:val="00BD7CF3"/>
    <w:rsid w:val="00BE16D4"/>
    <w:rsid w:val="00BE6FD0"/>
    <w:rsid w:val="00BF2C53"/>
    <w:rsid w:val="00C000C3"/>
    <w:rsid w:val="00C02E60"/>
    <w:rsid w:val="00C10095"/>
    <w:rsid w:val="00C135E7"/>
    <w:rsid w:val="00C15A30"/>
    <w:rsid w:val="00C240FD"/>
    <w:rsid w:val="00C2417C"/>
    <w:rsid w:val="00C24374"/>
    <w:rsid w:val="00C302EF"/>
    <w:rsid w:val="00C74C53"/>
    <w:rsid w:val="00C97431"/>
    <w:rsid w:val="00CA330A"/>
    <w:rsid w:val="00CB15F6"/>
    <w:rsid w:val="00CB301B"/>
    <w:rsid w:val="00CF1EFE"/>
    <w:rsid w:val="00D066DA"/>
    <w:rsid w:val="00D13795"/>
    <w:rsid w:val="00D241D3"/>
    <w:rsid w:val="00D24EC3"/>
    <w:rsid w:val="00D253E1"/>
    <w:rsid w:val="00D27FA8"/>
    <w:rsid w:val="00D365D3"/>
    <w:rsid w:val="00D42F7B"/>
    <w:rsid w:val="00D55089"/>
    <w:rsid w:val="00D65684"/>
    <w:rsid w:val="00D84540"/>
    <w:rsid w:val="00D973E4"/>
    <w:rsid w:val="00DA76FA"/>
    <w:rsid w:val="00DB2B49"/>
    <w:rsid w:val="00DC28FE"/>
    <w:rsid w:val="00DC290C"/>
    <w:rsid w:val="00DC33B4"/>
    <w:rsid w:val="00DD4656"/>
    <w:rsid w:val="00DE3202"/>
    <w:rsid w:val="00DF01DF"/>
    <w:rsid w:val="00E018FB"/>
    <w:rsid w:val="00E135C8"/>
    <w:rsid w:val="00E21D10"/>
    <w:rsid w:val="00E21DC0"/>
    <w:rsid w:val="00E323B3"/>
    <w:rsid w:val="00E34C68"/>
    <w:rsid w:val="00E4248F"/>
    <w:rsid w:val="00E6763B"/>
    <w:rsid w:val="00E80E8E"/>
    <w:rsid w:val="00EA4392"/>
    <w:rsid w:val="00EB58BD"/>
    <w:rsid w:val="00EB6D30"/>
    <w:rsid w:val="00EC0FFC"/>
    <w:rsid w:val="00EC3CE8"/>
    <w:rsid w:val="00EC55F5"/>
    <w:rsid w:val="00EC5A50"/>
    <w:rsid w:val="00ED2E33"/>
    <w:rsid w:val="00ED3024"/>
    <w:rsid w:val="00ED71B6"/>
    <w:rsid w:val="00EE5474"/>
    <w:rsid w:val="00EF0E10"/>
    <w:rsid w:val="00EF2076"/>
    <w:rsid w:val="00EF2AFB"/>
    <w:rsid w:val="00F03038"/>
    <w:rsid w:val="00F27A91"/>
    <w:rsid w:val="00F33D5C"/>
    <w:rsid w:val="00F431FB"/>
    <w:rsid w:val="00F53ACB"/>
    <w:rsid w:val="00F60E46"/>
    <w:rsid w:val="00F6184E"/>
    <w:rsid w:val="00F75D51"/>
    <w:rsid w:val="00F8007E"/>
    <w:rsid w:val="00F81C8A"/>
    <w:rsid w:val="00F84805"/>
    <w:rsid w:val="00F85E41"/>
    <w:rsid w:val="00FA2B02"/>
    <w:rsid w:val="00FB1115"/>
    <w:rsid w:val="00FB4AE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0DBDEFA"/>
  <w15:chartTrackingRefBased/>
  <w15:docId w15:val="{05B26762-B1ED-4173-AE98-41B748FF3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latentStyles>
  <w:style w:type="paragraph" w:default="1" w:styleId="Normal">
    <w:name w:val="Normal"/>
    <w:qFormat/>
    <w:rsid w:val="007D37D3"/>
    <w:pPr>
      <w:spacing w:before="0" w:after="0"/>
    </w:pPr>
    <w:rPr>
      <w:sz w:val="24"/>
    </w:r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CF1EFE"/>
    <w:pPr>
      <w:keepNext/>
      <w:keepLines/>
      <w:spacing w:before="240" w:after="120"/>
      <w:outlineLvl w:val="1"/>
    </w:pPr>
    <w:rPr>
      <w:rFonts w:asciiTheme="majorHAnsi" w:eastAsia="Times New Roman" w:hAnsiTheme="majorHAnsi" w:cs="Arial"/>
      <w:bCs/>
      <w:iCs/>
      <w:color w:val="004B8D" w:themeColor="accent1"/>
      <w:sz w:val="32"/>
      <w:szCs w:val="28"/>
      <w:lang w:eastAsia="en-AU"/>
    </w:rPr>
  </w:style>
  <w:style w:type="paragraph" w:styleId="Heading3">
    <w:name w:val="heading 3"/>
    <w:basedOn w:val="Normal"/>
    <w:next w:val="BodyText"/>
    <w:link w:val="Heading3Char"/>
    <w:qFormat/>
    <w:rsid w:val="00CF1EFE"/>
    <w:pPr>
      <w:keepNext/>
      <w:keepLines/>
      <w:spacing w:before="240" w:after="120"/>
      <w:outlineLvl w:val="2"/>
    </w:pPr>
    <w:rPr>
      <w:rFonts w:asciiTheme="majorHAnsi" w:eastAsia="Times New Roman" w:hAnsiTheme="majorHAnsi" w:cs="Times New Roman"/>
      <w:bCs/>
      <w:color w:val="004B8D" w:themeColor="accent1"/>
      <w:sz w:val="28"/>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CF1EFE"/>
    <w:rPr>
      <w:rFonts w:asciiTheme="majorHAnsi" w:eastAsia="Times New Roman" w:hAnsiTheme="majorHAnsi" w:cs="Arial"/>
      <w:bCs/>
      <w:iCs/>
      <w:color w:val="004B8D" w:themeColor="accent1"/>
      <w:sz w:val="32"/>
      <w:szCs w:val="28"/>
      <w:lang w:eastAsia="en-AU"/>
    </w:rPr>
  </w:style>
  <w:style w:type="character" w:customStyle="1" w:styleId="Heading3Char">
    <w:name w:val="Heading 3 Char"/>
    <w:basedOn w:val="DefaultParagraphFont"/>
    <w:link w:val="Heading3"/>
    <w:rsid w:val="00CF1EFE"/>
    <w:rPr>
      <w:rFonts w:asciiTheme="majorHAnsi" w:eastAsia="Times New Roman" w:hAnsiTheme="majorHAnsi" w:cs="Times New Roman"/>
      <w:bCs/>
      <w:color w:val="004B8D" w:themeColor="accent1"/>
      <w:sz w:val="28"/>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13"/>
      </w:numPr>
      <w:tabs>
        <w:tab w:val="right" w:leader="dot" w:pos="8789"/>
      </w:tabs>
    </w:pPr>
  </w:style>
  <w:style w:type="paragraph" w:customStyle="1" w:styleId="NbrHeading2">
    <w:name w:val="Nbr Heading 2"/>
    <w:basedOn w:val="Heading2"/>
    <w:qFormat/>
    <w:rsid w:val="00291FEC"/>
    <w:pPr>
      <w:numPr>
        <w:ilvl w:val="1"/>
        <w:numId w:val="13"/>
      </w:numPr>
    </w:pPr>
  </w:style>
  <w:style w:type="paragraph" w:customStyle="1" w:styleId="NbrHeading3">
    <w:name w:val="Nbr Heading 3"/>
    <w:basedOn w:val="Heading3"/>
    <w:qFormat/>
    <w:rsid w:val="00291FEC"/>
    <w:pPr>
      <w:numPr>
        <w:ilvl w:val="2"/>
        <w:numId w:val="13"/>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2D4062"/>
    <w:rPr>
      <w:noProof/>
      <w:sz w:val="18"/>
    </w:rPr>
  </w:style>
  <w:style w:type="paragraph" w:styleId="ListNumber0">
    <w:name w:val="List Number"/>
    <w:basedOn w:val="Normal"/>
    <w:uiPriority w:val="1"/>
    <w:qFormat/>
    <w:rsid w:val="00E80E8E"/>
    <w:pPr>
      <w:numPr>
        <w:numId w:val="11"/>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DE3202"/>
    <w:pPr>
      <w:numPr>
        <w:numId w:val="14"/>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D973E4"/>
    <w:pPr>
      <w:spacing w:before="60" w:after="60"/>
    </w:pPr>
    <w:rPr>
      <w:b/>
      <w:color w:val="FFFFFF" w:themeColor="background1"/>
    </w:rPr>
  </w:style>
  <w:style w:type="paragraph" w:customStyle="1" w:styleId="TableBody">
    <w:name w:val="Table Body"/>
    <w:basedOn w:val="Normal"/>
    <w:uiPriority w:val="3"/>
    <w:qFormat/>
    <w:rsid w:val="007D37D3"/>
    <w:pPr>
      <w:spacing w:before="60" w:after="60"/>
    </w:pPr>
  </w:style>
  <w:style w:type="paragraph" w:customStyle="1" w:styleId="TableBullet">
    <w:name w:val="Table Bullet"/>
    <w:basedOn w:val="Normal"/>
    <w:uiPriority w:val="4"/>
    <w:qFormat/>
    <w:rsid w:val="00DE3202"/>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2"/>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0"/>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060C40"/>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DE3202"/>
    <w:pPr>
      <w:numPr>
        <w:ilvl w:val="1"/>
      </w:numPr>
      <w:spacing w:after="120"/>
    </w:pPr>
  </w:style>
  <w:style w:type="paragraph" w:styleId="ListBullet3">
    <w:name w:val="List Bullet 3"/>
    <w:basedOn w:val="ListBullet0"/>
    <w:uiPriority w:val="19"/>
    <w:rsid w:val="00DE3202"/>
    <w:pPr>
      <w:numPr>
        <w:ilvl w:val="2"/>
      </w:numPr>
      <w:spacing w:after="120"/>
    </w:pPr>
  </w:style>
  <w:style w:type="paragraph" w:styleId="ListBullet4">
    <w:name w:val="List Bullet 4"/>
    <w:basedOn w:val="ListBullet0"/>
    <w:uiPriority w:val="19"/>
    <w:rsid w:val="00DE3202"/>
    <w:pPr>
      <w:numPr>
        <w:ilvl w:val="3"/>
      </w:numPr>
      <w:spacing w:after="120"/>
    </w:pPr>
  </w:style>
  <w:style w:type="paragraph" w:styleId="ListBullet5">
    <w:name w:val="List Bullet 5"/>
    <w:basedOn w:val="ListBullet0"/>
    <w:uiPriority w:val="19"/>
    <w:rsid w:val="00DE3202"/>
    <w:pPr>
      <w:numPr>
        <w:ilvl w:val="4"/>
      </w:numPr>
      <w:spacing w:after="120"/>
    </w:pPr>
  </w:style>
  <w:style w:type="paragraph" w:customStyle="1" w:styleId="ListBullet6">
    <w:name w:val="List Bullet 6"/>
    <w:basedOn w:val="ListBullet0"/>
    <w:uiPriority w:val="19"/>
    <w:rsid w:val="00DE3202"/>
    <w:pPr>
      <w:numPr>
        <w:ilvl w:val="5"/>
      </w:numPr>
      <w:spacing w:after="120"/>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DE3202"/>
    <w:pPr>
      <w:numPr>
        <w:numId w:val="9"/>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DE3202"/>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DE3202"/>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7D37D3"/>
    <w:rPr>
      <w:b w:val="0"/>
      <w:i/>
    </w:rPr>
  </w:style>
  <w:style w:type="table" w:customStyle="1" w:styleId="V2020Table">
    <w:name w:val="V2020 Table"/>
    <w:basedOn w:val="TableNormal"/>
    <w:uiPriority w:val="99"/>
    <w:rsid w:val="001A459E"/>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1A459E"/>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0448D9"/>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0448D9"/>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0448D9"/>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1A459E"/>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semiHidden/>
    <w:rsid w:val="00A711F0"/>
    <w:rPr>
      <w:smallCaps/>
      <w:color w:val="5A5A5A" w:themeColor="text1" w:themeTint="A5"/>
    </w:rPr>
  </w:style>
  <w:style w:type="paragraph" w:styleId="FootnoteText">
    <w:name w:val="footnote text"/>
    <w:basedOn w:val="Normal"/>
    <w:link w:val="FootnoteTextChar"/>
    <w:uiPriority w:val="99"/>
    <w:semiHidden/>
    <w:unhideWhenUsed/>
    <w:rsid w:val="00EA4392"/>
    <w:rPr>
      <w:sz w:val="20"/>
      <w:szCs w:val="20"/>
    </w:rPr>
  </w:style>
  <w:style w:type="character" w:customStyle="1" w:styleId="FootnoteTextChar">
    <w:name w:val="Footnote Text Char"/>
    <w:basedOn w:val="DefaultParagraphFont"/>
    <w:link w:val="FootnoteText"/>
    <w:uiPriority w:val="99"/>
    <w:semiHidden/>
    <w:rsid w:val="00EA4392"/>
    <w:rPr>
      <w:sz w:val="20"/>
      <w:szCs w:val="20"/>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unhideWhenUsed/>
    <w:rsid w:val="00EA4392"/>
    <w:rPr>
      <w:vertAlign w:val="superscript"/>
    </w:rPr>
  </w:style>
  <w:style w:type="character" w:styleId="UnresolvedMention">
    <w:name w:val="Unresolved Mention"/>
    <w:basedOn w:val="DefaultParagraphFont"/>
    <w:uiPriority w:val="99"/>
    <w:semiHidden/>
    <w:unhideWhenUsed/>
    <w:rsid w:val="00BE6F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cgp.org.au/FSDEDEV/media/documents/Clinical%20Resources/Guidelines/Red%20Book/Guidelines-for-preventive-activities-in-general-practice.pdf"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racgp.org.au/FSDEDEV/media/documents/Clinical%20Resources/Guidelines/Red%20Book/Guidelines-for-preventive-activities-in-general-practic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44B663-1CCD-4A90-960B-1957DD8E7B1D}">
  <ds:schemaRefs>
    <ds:schemaRef ds:uri="http://schemas.openxmlformats.org/officeDocument/2006/bibliography"/>
  </ds:schemaRefs>
</ds:datastoreItem>
</file>

<file path=customXml/itemProps2.xml><?xml version="1.0" encoding="utf-8"?>
<ds:datastoreItem xmlns:ds="http://schemas.openxmlformats.org/officeDocument/2006/customXml" ds:itemID="{1FA23184-DF22-4AC9-A01D-5CFE669A64DE}"/>
</file>

<file path=customXml/itemProps3.xml><?xml version="1.0" encoding="utf-8"?>
<ds:datastoreItem xmlns:ds="http://schemas.openxmlformats.org/officeDocument/2006/customXml" ds:itemID="{49B0AEFF-0971-4164-A5B4-0DBEA52812DE}"/>
</file>

<file path=customXml/itemProps4.xml><?xml version="1.0" encoding="utf-8"?>
<ds:datastoreItem xmlns:ds="http://schemas.openxmlformats.org/officeDocument/2006/customXml" ds:itemID="{B0A0BB1A-9F29-49C8-97C8-34F4D72F4BB8}"/>
</file>

<file path=docProps/app.xml><?xml version="1.0" encoding="utf-8"?>
<Properties xmlns="http://schemas.openxmlformats.org/officeDocument/2006/extended-properties" xmlns:vt="http://schemas.openxmlformats.org/officeDocument/2006/docPropsVTypes">
  <Template>Normal</Template>
  <TotalTime>4</TotalTime>
  <Pages>11</Pages>
  <Words>2504</Words>
  <Characters>14273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Abbott</dc:creator>
  <cp:keywords/>
  <dc:description/>
  <cp:lastModifiedBy>Judith Abbott</cp:lastModifiedBy>
  <cp:revision>3</cp:revision>
  <cp:lastPrinted>2021-09-01T05:43:00Z</cp:lastPrinted>
  <dcterms:created xsi:type="dcterms:W3CDTF">2021-09-01T05:43:00Z</dcterms:created>
  <dcterms:modified xsi:type="dcterms:W3CDTF">2021-09-01T05:45:00Z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ies>
</file>