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00B0D" w14:textId="77777777" w:rsidR="00007607" w:rsidRDefault="004E5488" w:rsidP="00007607">
      <w:pPr>
        <w:pStyle w:val="Title"/>
        <w:spacing w:after="2000"/>
        <w:rPr>
          <w:color w:val="004B8D"/>
        </w:rPr>
      </w:pPr>
      <w:bookmarkStart w:id="0" w:name="Cover"/>
      <w:r>
        <w:rPr>
          <w:noProof/>
        </w:rPr>
        <w:drawing>
          <wp:inline distT="0" distB="0" distL="0" distR="0" wp14:anchorId="3D0FD50D" wp14:editId="236D276B">
            <wp:extent cx="1255478" cy="90524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2020_silver_letterheadlogo_RGB_600dpi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2182" cy="91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alias w:val="Title"/>
        <w:tag w:val=""/>
        <w:id w:val="-1521466203"/>
        <w:placeholder>
          <w:docPart w:val="DE658B390FDE4C36A0EE66C56ED0297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C74F599" w14:textId="45A357F1" w:rsidR="00007607" w:rsidRPr="00007607" w:rsidRDefault="00CF41E0" w:rsidP="00007607">
          <w:pPr>
            <w:pStyle w:val="Title"/>
            <w:jc w:val="left"/>
          </w:pPr>
          <w:r>
            <w:t xml:space="preserve">Vision 2020 Australia submission </w:t>
          </w:r>
          <w:r w:rsidR="00732BF7">
            <w:t xml:space="preserve">to Health Policy Analysis (HPA) regarding the </w:t>
          </w:r>
          <w:r w:rsidR="003969E0">
            <w:t xml:space="preserve">Evaluation of </w:t>
          </w:r>
          <w:r w:rsidR="00732BF7">
            <w:t>Outreach Programs</w:t>
          </w:r>
        </w:p>
      </w:sdtContent>
    </w:sdt>
    <w:p w14:paraId="708FBD99" w14:textId="77777777" w:rsidR="00991372" w:rsidRDefault="00991372" w:rsidP="00991372">
      <w:pPr>
        <w:pStyle w:val="BodyText"/>
      </w:pPr>
    </w:p>
    <w:p w14:paraId="5569772A" w14:textId="77777777" w:rsidR="00991372" w:rsidRPr="00991372" w:rsidRDefault="00991372" w:rsidP="00991372">
      <w:pPr>
        <w:pStyle w:val="BodyText"/>
      </w:pPr>
    </w:p>
    <w:p w14:paraId="4A0D6557" w14:textId="2439DFFE" w:rsidR="00007607" w:rsidRPr="00007607" w:rsidRDefault="00661A1A" w:rsidP="00007607">
      <w:pPr>
        <w:pStyle w:val="Subtitle"/>
      </w:pPr>
      <w:sdt>
        <w:sdtPr>
          <w:alias w:val="Date"/>
          <w:tag w:val="Publish Date"/>
          <w:id w:val="879595297"/>
          <w:placeholder>
            <w:docPart w:val="B4480DD48AAA40D1A5C9700E78FFA655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2-04-01T00:00:00Z">
            <w:dateFormat w:val="MMMM yyyy"/>
            <w:lid w:val="en-AU"/>
            <w:storeMappedDataAs w:val="dateTime"/>
            <w:calendar w:val="gregorian"/>
          </w:date>
        </w:sdtPr>
        <w:sdtEndPr/>
        <w:sdtContent>
          <w:r w:rsidR="00F85647">
            <w:t>April</w:t>
          </w:r>
          <w:r w:rsidR="006E279F">
            <w:t xml:space="preserve"> 2022</w:t>
          </w:r>
        </w:sdtContent>
      </w:sdt>
    </w:p>
    <w:bookmarkEnd w:id="0"/>
    <w:p w14:paraId="2E8795CF" w14:textId="77777777" w:rsidR="00007607" w:rsidRDefault="00007607" w:rsidP="00817D6F">
      <w:pPr>
        <w:pStyle w:val="BodyText"/>
        <w:sectPr w:rsidR="00007607" w:rsidSect="0000760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567" w:right="1134" w:bottom="425" w:left="1134" w:header="369" w:footer="635" w:gutter="0"/>
          <w:pgNumType w:start="0"/>
          <w:cols w:space="708"/>
          <w:titlePg/>
          <w:docGrid w:linePitch="360"/>
        </w:sectPr>
      </w:pPr>
    </w:p>
    <w:p w14:paraId="228AFD7F" w14:textId="77777777" w:rsidR="009E3BCF" w:rsidRDefault="009E3BCF" w:rsidP="009E3BCF">
      <w:pPr>
        <w:pStyle w:val="TOCHeading"/>
      </w:pPr>
      <w:r>
        <w:lastRenderedPageBreak/>
        <w:t>Contents</w:t>
      </w:r>
    </w:p>
    <w:p w14:paraId="2D6C1D14" w14:textId="4CBCA7DD" w:rsidR="00661A1A" w:rsidRDefault="00AA7024">
      <w:pPr>
        <w:pStyle w:val="TOC2"/>
        <w:rPr>
          <w:rFonts w:eastAsiaTheme="minorEastAsia"/>
          <w:lang w:eastAsia="en-AU"/>
        </w:rPr>
      </w:pPr>
      <w:r>
        <w:rPr>
          <w:b/>
          <w:lang w:eastAsia="en-AU"/>
        </w:rPr>
        <w:fldChar w:fldCharType="begin"/>
      </w:r>
      <w:r>
        <w:rPr>
          <w:lang w:eastAsia="en-AU"/>
        </w:rPr>
        <w:instrText xml:space="preserve"> TOC \h \z \t "Heading 1,1,Heading 2,2,Nbr Heading 1,4,Nbr Heading 2,5" </w:instrText>
      </w:r>
      <w:r>
        <w:rPr>
          <w:b/>
          <w:lang w:eastAsia="en-AU"/>
        </w:rPr>
        <w:fldChar w:fldCharType="separate"/>
      </w:r>
      <w:hyperlink w:anchor="_Toc99983989" w:history="1">
        <w:r w:rsidR="00661A1A" w:rsidRPr="006722F2">
          <w:rPr>
            <w:rStyle w:val="Hyperlink"/>
          </w:rPr>
          <w:t>Introduction</w:t>
        </w:r>
        <w:r w:rsidR="00661A1A">
          <w:rPr>
            <w:webHidden/>
          </w:rPr>
          <w:tab/>
        </w:r>
        <w:r w:rsidR="00661A1A">
          <w:rPr>
            <w:webHidden/>
          </w:rPr>
          <w:fldChar w:fldCharType="begin"/>
        </w:r>
        <w:r w:rsidR="00661A1A">
          <w:rPr>
            <w:webHidden/>
          </w:rPr>
          <w:instrText xml:space="preserve"> PAGEREF _Toc99983989 \h </w:instrText>
        </w:r>
        <w:r w:rsidR="00661A1A">
          <w:rPr>
            <w:webHidden/>
          </w:rPr>
        </w:r>
        <w:r w:rsidR="00661A1A">
          <w:rPr>
            <w:webHidden/>
          </w:rPr>
          <w:fldChar w:fldCharType="separate"/>
        </w:r>
        <w:r w:rsidR="00661A1A">
          <w:rPr>
            <w:webHidden/>
          </w:rPr>
          <w:t>2</w:t>
        </w:r>
        <w:r w:rsidR="00661A1A">
          <w:rPr>
            <w:webHidden/>
          </w:rPr>
          <w:fldChar w:fldCharType="end"/>
        </w:r>
      </w:hyperlink>
    </w:p>
    <w:p w14:paraId="27A45824" w14:textId="55FB9F6F" w:rsidR="00661A1A" w:rsidRDefault="00661A1A">
      <w:pPr>
        <w:pStyle w:val="TOC2"/>
        <w:rPr>
          <w:rFonts w:eastAsiaTheme="minorEastAsia"/>
          <w:lang w:eastAsia="en-AU"/>
        </w:rPr>
      </w:pPr>
      <w:hyperlink w:anchor="_Toc99983990" w:history="1">
        <w:r w:rsidRPr="006722F2">
          <w:rPr>
            <w:rStyle w:val="Hyperlink"/>
          </w:rPr>
          <w:t>Aboriginal and Torres Strait Islander leadership and self-determination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_Toc99983990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6D628AE" w14:textId="4114F289" w:rsidR="00661A1A" w:rsidRDefault="00661A1A">
      <w:pPr>
        <w:pStyle w:val="TOC2"/>
        <w:rPr>
          <w:rFonts w:eastAsiaTheme="minorEastAsia"/>
          <w:lang w:eastAsia="en-AU"/>
        </w:rPr>
      </w:pPr>
      <w:hyperlink w:anchor="_Toc99983991" w:history="1">
        <w:r w:rsidRPr="006722F2">
          <w:rPr>
            <w:rStyle w:val="Hyperlink"/>
          </w:rPr>
          <w:t>Indigenous Data Sovereignty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_Toc99983991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0E37F9D" w14:textId="0A673E98" w:rsidR="00661A1A" w:rsidRDefault="00661A1A">
      <w:pPr>
        <w:pStyle w:val="TOC2"/>
        <w:rPr>
          <w:rFonts w:eastAsiaTheme="minorEastAsia"/>
          <w:lang w:eastAsia="en-AU"/>
        </w:rPr>
      </w:pPr>
      <w:hyperlink w:anchor="_Toc99983992" w:history="1">
        <w:r w:rsidRPr="006722F2">
          <w:rPr>
            <w:rStyle w:val="Hyperlink"/>
          </w:rPr>
          <w:t>Transparency in Needs Assessment, Decision Making and Governance Processes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_Toc99983992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2A39328" w14:textId="635B030C" w:rsidR="00661A1A" w:rsidRDefault="00661A1A">
      <w:pPr>
        <w:pStyle w:val="TOC2"/>
        <w:rPr>
          <w:rFonts w:eastAsiaTheme="minorEastAsia"/>
          <w:lang w:eastAsia="en-AU"/>
        </w:rPr>
      </w:pPr>
      <w:hyperlink w:anchor="_Toc99983993" w:history="1">
        <w:r w:rsidRPr="006722F2">
          <w:rPr>
            <w:rStyle w:val="Hyperlink"/>
          </w:rPr>
          <w:t>Leveraging the current Outreach Programs Evaluation to undertake a broader strategic planning process for the future of outreach programs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_Toc99983993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22BB9B9" w14:textId="08515FAB" w:rsidR="009E3BCF" w:rsidRPr="006759F6" w:rsidRDefault="00AA7024" w:rsidP="006759F6">
      <w:r>
        <w:rPr>
          <w:noProof/>
          <w:lang w:eastAsia="en-AU"/>
        </w:rPr>
        <w:fldChar w:fldCharType="end"/>
      </w:r>
    </w:p>
    <w:p w14:paraId="549CA35E" w14:textId="1916B8C7" w:rsidR="00A33099" w:rsidRDefault="00B42E02" w:rsidP="00CE32F2">
      <w:pPr>
        <w:spacing w:before="80" w:after="80"/>
      </w:pPr>
      <w:r>
        <w:br w:type="page"/>
      </w:r>
    </w:p>
    <w:p w14:paraId="38DBD157" w14:textId="3E8978F8" w:rsidR="00C6143E" w:rsidRPr="00C6143E" w:rsidRDefault="00DA02CA" w:rsidP="00CE32F2">
      <w:pPr>
        <w:pStyle w:val="Heading2"/>
        <w:rPr>
          <w:rStyle w:val="BodyTextChar"/>
          <w:rFonts w:cs="Arial"/>
          <w:szCs w:val="28"/>
        </w:rPr>
      </w:pPr>
      <w:bookmarkStart w:id="1" w:name="_Toc99983989"/>
      <w:r>
        <w:rPr>
          <w:rStyle w:val="BodyTextChar"/>
          <w:rFonts w:cs="Arial"/>
          <w:szCs w:val="28"/>
        </w:rPr>
        <w:lastRenderedPageBreak/>
        <w:t>Introduction</w:t>
      </w:r>
      <w:bookmarkEnd w:id="1"/>
    </w:p>
    <w:p w14:paraId="31C87C46" w14:textId="3E7BACFA" w:rsidR="00DA02CA" w:rsidRPr="00585794" w:rsidRDefault="001C7BF9" w:rsidP="00585794">
      <w:pPr>
        <w:pStyle w:val="BodyText"/>
        <w:rPr>
          <w:rStyle w:val="fontstyle01"/>
          <w:rFonts w:asciiTheme="minorHAnsi" w:hAnsiTheme="minorHAnsi"/>
          <w:color w:val="auto"/>
          <w:szCs w:val="24"/>
        </w:rPr>
      </w:pPr>
      <w:r>
        <w:rPr>
          <w:rStyle w:val="fontstyle01"/>
          <w:rFonts w:asciiTheme="minorHAnsi" w:hAnsiTheme="minorHAnsi"/>
          <w:color w:val="auto"/>
          <w:szCs w:val="24"/>
        </w:rPr>
        <w:t xml:space="preserve">Vision 2020 Australia </w:t>
      </w:r>
      <w:r w:rsidR="00927D4C">
        <w:rPr>
          <w:rStyle w:val="fontstyle01"/>
          <w:rFonts w:asciiTheme="minorHAnsi" w:hAnsiTheme="minorHAnsi"/>
          <w:color w:val="auto"/>
          <w:szCs w:val="24"/>
        </w:rPr>
        <w:t>is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 w:rsidR="00365D77">
        <w:rPr>
          <w:rStyle w:val="fontstyle01"/>
          <w:rFonts w:asciiTheme="minorHAnsi" w:hAnsiTheme="minorHAnsi"/>
          <w:color w:val="auto"/>
          <w:szCs w:val="24"/>
        </w:rPr>
        <w:t>pleased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to have th</w:t>
      </w:r>
      <w:r w:rsidR="00927D4C">
        <w:rPr>
          <w:rStyle w:val="fontstyle01"/>
          <w:rFonts w:asciiTheme="minorHAnsi" w:hAnsiTheme="minorHAnsi"/>
          <w:color w:val="auto"/>
          <w:szCs w:val="24"/>
        </w:rPr>
        <w:t>e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opportunity to </w:t>
      </w:r>
      <w:r w:rsidR="00365D77">
        <w:rPr>
          <w:rStyle w:val="fontstyle01"/>
          <w:rFonts w:asciiTheme="minorHAnsi" w:hAnsiTheme="minorHAnsi"/>
          <w:color w:val="auto"/>
          <w:szCs w:val="24"/>
        </w:rPr>
        <w:t>provide feedback to Health Policy Analysis</w:t>
      </w:r>
      <w:r w:rsidR="00777FDC">
        <w:rPr>
          <w:rStyle w:val="fontstyle01"/>
          <w:rFonts w:asciiTheme="minorHAnsi" w:hAnsiTheme="minorHAnsi"/>
          <w:color w:val="auto"/>
          <w:szCs w:val="24"/>
        </w:rPr>
        <w:t xml:space="preserve"> (HPA)</w:t>
      </w:r>
      <w:r w:rsidR="00365D77">
        <w:rPr>
          <w:rStyle w:val="fontstyle01"/>
          <w:rFonts w:asciiTheme="minorHAnsi" w:hAnsiTheme="minorHAnsi"/>
          <w:color w:val="auto"/>
          <w:szCs w:val="24"/>
        </w:rPr>
        <w:t xml:space="preserve"> for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the </w:t>
      </w:r>
      <w:r w:rsidR="00365D77">
        <w:rPr>
          <w:rStyle w:val="fontstyle01"/>
          <w:rFonts w:asciiTheme="minorHAnsi" w:hAnsiTheme="minorHAnsi"/>
          <w:color w:val="auto"/>
          <w:szCs w:val="24"/>
        </w:rPr>
        <w:t>E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valuation of the </w:t>
      </w:r>
      <w:r w:rsidR="00365D77">
        <w:rPr>
          <w:rStyle w:val="fontstyle01"/>
          <w:rFonts w:asciiTheme="minorHAnsi" w:hAnsiTheme="minorHAnsi"/>
          <w:color w:val="auto"/>
          <w:szCs w:val="24"/>
        </w:rPr>
        <w:t>O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utreach </w:t>
      </w:r>
      <w:r w:rsidR="00365D77">
        <w:rPr>
          <w:rStyle w:val="fontstyle01"/>
          <w:rFonts w:asciiTheme="minorHAnsi" w:hAnsiTheme="minorHAnsi"/>
          <w:color w:val="auto"/>
          <w:szCs w:val="24"/>
        </w:rPr>
        <w:t>E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yecare </w:t>
      </w:r>
      <w:r w:rsidR="00365D77">
        <w:rPr>
          <w:rStyle w:val="fontstyle01"/>
          <w:rFonts w:asciiTheme="minorHAnsi" w:hAnsiTheme="minorHAnsi"/>
          <w:color w:val="auto"/>
          <w:szCs w:val="24"/>
        </w:rPr>
        <w:t>P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rograms </w:t>
      </w:r>
      <w:r w:rsidR="00927D4C">
        <w:rPr>
          <w:rStyle w:val="fontstyle01"/>
          <w:rFonts w:asciiTheme="minorHAnsi" w:hAnsiTheme="minorHAnsi"/>
          <w:color w:val="auto"/>
          <w:szCs w:val="24"/>
        </w:rPr>
        <w:t xml:space="preserve">conducted for the </w:t>
      </w:r>
      <w:r w:rsidR="00D11E06">
        <w:rPr>
          <w:rStyle w:val="fontstyle01"/>
          <w:rFonts w:asciiTheme="minorHAnsi" w:hAnsiTheme="minorHAnsi"/>
          <w:color w:val="auto"/>
          <w:szCs w:val="24"/>
        </w:rPr>
        <w:t>Australian Government</w:t>
      </w:r>
      <w:r w:rsidR="00927D4C">
        <w:rPr>
          <w:rStyle w:val="fontstyle01"/>
          <w:rFonts w:asciiTheme="minorHAnsi" w:hAnsiTheme="minorHAnsi"/>
          <w:color w:val="auto"/>
          <w:szCs w:val="24"/>
        </w:rPr>
        <w:t xml:space="preserve"> Department of Health</w:t>
      </w:r>
      <w:r w:rsidR="00365D77">
        <w:rPr>
          <w:rStyle w:val="fontstyle01"/>
          <w:rFonts w:asciiTheme="minorHAnsi" w:hAnsiTheme="minorHAnsi"/>
          <w:color w:val="auto"/>
          <w:szCs w:val="24"/>
        </w:rPr>
        <w:t>.</w:t>
      </w:r>
    </w:p>
    <w:p w14:paraId="735456AE" w14:textId="19783C8B" w:rsidR="00DA02CA" w:rsidRPr="00585794" w:rsidRDefault="00927D4C" w:rsidP="00585794">
      <w:pPr>
        <w:pStyle w:val="BodyText"/>
        <w:rPr>
          <w:rStyle w:val="fontstyle01"/>
          <w:rFonts w:asciiTheme="minorHAnsi" w:hAnsiTheme="minorHAnsi"/>
          <w:color w:val="auto"/>
          <w:szCs w:val="24"/>
        </w:rPr>
      </w:pPr>
      <w:r>
        <w:rPr>
          <w:rStyle w:val="fontstyle01"/>
          <w:rFonts w:asciiTheme="minorHAnsi" w:hAnsiTheme="minorHAnsi"/>
          <w:color w:val="auto"/>
          <w:szCs w:val="24"/>
        </w:rPr>
        <w:t>Our members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recognize the </w:t>
      </w:r>
      <w:r w:rsidR="005D3D3B">
        <w:rPr>
          <w:rStyle w:val="fontstyle01"/>
          <w:rFonts w:asciiTheme="minorHAnsi" w:hAnsiTheme="minorHAnsi"/>
          <w:color w:val="auto"/>
          <w:szCs w:val="24"/>
        </w:rPr>
        <w:t>key</w:t>
      </w:r>
      <w:r w:rsidR="005D3D3B" w:rsidRPr="00585794">
        <w:rPr>
          <w:rStyle w:val="fontstyle01"/>
          <w:rFonts w:asciiTheme="minorHAnsi" w:hAnsiTheme="minorHAnsi"/>
          <w:color w:val="auto"/>
          <w:szCs w:val="24"/>
        </w:rPr>
        <w:t xml:space="preserve"> role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that outreach programs</w:t>
      </w:r>
      <w:r w:rsidR="004E01DC">
        <w:t xml:space="preserve"> 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>play in supporting access to health services for Aboriginal and Torres Strait Islander Peoples</w:t>
      </w:r>
      <w:r w:rsidR="004E01DC">
        <w:t xml:space="preserve"> 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>nationwide</w:t>
      </w:r>
      <w:r w:rsidR="004535A2">
        <w:rPr>
          <w:rStyle w:val="fontstyle01"/>
          <w:rFonts w:asciiTheme="minorHAnsi" w:hAnsiTheme="minorHAnsi"/>
          <w:color w:val="auto"/>
          <w:szCs w:val="24"/>
        </w:rPr>
        <w:t>,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and for achieving </w:t>
      </w:r>
      <w:r w:rsidR="00365D77">
        <w:rPr>
          <w:rStyle w:val="fontstyle01"/>
          <w:rFonts w:asciiTheme="minorHAnsi" w:hAnsiTheme="minorHAnsi"/>
          <w:color w:val="auto"/>
          <w:szCs w:val="24"/>
        </w:rPr>
        <w:t>our shared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 xml:space="preserve"> goal of ending avoidable blindness </w:t>
      </w:r>
      <w:r w:rsidR="00187621">
        <w:rPr>
          <w:rStyle w:val="fontstyle01"/>
          <w:rFonts w:asciiTheme="minorHAnsi" w:hAnsiTheme="minorHAnsi"/>
          <w:color w:val="auto"/>
          <w:szCs w:val="24"/>
        </w:rPr>
        <w:t>by 2025</w:t>
      </w:r>
      <w:r w:rsidR="00DA02CA" w:rsidRPr="00585794">
        <w:rPr>
          <w:rStyle w:val="fontstyle01"/>
          <w:rFonts w:asciiTheme="minorHAnsi" w:hAnsiTheme="minorHAnsi"/>
          <w:color w:val="auto"/>
          <w:szCs w:val="24"/>
        </w:rPr>
        <w:t>.</w:t>
      </w:r>
      <w:r w:rsidR="00C94843">
        <w:rPr>
          <w:rStyle w:val="FootnoteReference"/>
        </w:rPr>
        <w:footnoteReference w:id="2"/>
      </w:r>
    </w:p>
    <w:p w14:paraId="058E3578" w14:textId="33C273A2" w:rsidR="00DA02CA" w:rsidRPr="0023007B" w:rsidRDefault="00DA02CA" w:rsidP="008D64E8">
      <w:pPr>
        <w:pStyle w:val="BodyText"/>
        <w:rPr>
          <w:rStyle w:val="fontstyle01"/>
          <w:rFonts w:asciiTheme="minorHAnsi" w:hAnsiTheme="minorHAnsi"/>
          <w:color w:val="auto"/>
          <w:szCs w:val="24"/>
        </w:rPr>
      </w:pP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A review of eye </w:t>
      </w:r>
      <w:r w:rsidR="004E01DC">
        <w:rPr>
          <w:rStyle w:val="fontstyle01"/>
          <w:rFonts w:asciiTheme="minorHAnsi" w:hAnsiTheme="minorHAnsi"/>
          <w:color w:val="auto"/>
          <w:szCs w:val="24"/>
        </w:rPr>
        <w:t xml:space="preserve">health 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outreach program guidelines was a key recommendation of the </w:t>
      </w:r>
      <w:hyperlink r:id="rId19" w:history="1">
        <w:r w:rsidRPr="0023007B">
          <w:rPr>
            <w:rStyle w:val="Hyperlink"/>
            <w:rFonts w:cstheme="minorHAnsi"/>
            <w:i/>
            <w:iCs/>
          </w:rPr>
          <w:t>Strong Eyes, Strong Communities: a five year plan for Aboriginal and</w:t>
        </w:r>
        <w:r>
          <w:rPr>
            <w:rStyle w:val="Hyperlink"/>
            <w:rFonts w:cstheme="minorHAnsi"/>
            <w:i/>
            <w:iCs/>
          </w:rPr>
          <w:t xml:space="preserve"> </w:t>
        </w:r>
        <w:r w:rsidRPr="0023007B">
          <w:rPr>
            <w:rStyle w:val="Hyperlink"/>
            <w:rFonts w:cstheme="minorHAnsi"/>
            <w:i/>
            <w:iCs/>
          </w:rPr>
          <w:t>Torres Strait Islander eye health and vision</w:t>
        </w:r>
      </w:hyperlink>
      <w:r>
        <w:rPr>
          <w:rStyle w:val="Hyperlink"/>
          <w:rFonts w:cstheme="minorHAnsi"/>
          <w:i/>
          <w:iCs/>
        </w:rPr>
        <w:t xml:space="preserve"> </w:t>
      </w:r>
      <w:r w:rsidRPr="0023007B">
        <w:rPr>
          <w:rStyle w:val="fontstyle01"/>
          <w:rFonts w:asciiTheme="minorHAnsi" w:hAnsiTheme="minorHAnsi"/>
          <w:color w:val="auto"/>
          <w:szCs w:val="24"/>
        </w:rPr>
        <w:t>to address</w:t>
      </w:r>
      <w:r w:rsidR="004523E6">
        <w:rPr>
          <w:rStyle w:val="fontstyle01"/>
          <w:rFonts w:asciiTheme="minorHAnsi" w:hAnsiTheme="minorHAnsi"/>
          <w:color w:val="auto"/>
          <w:szCs w:val="24"/>
        </w:rPr>
        <w:t xml:space="preserve"> the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 practical barriers and increase the effectiveness</w:t>
      </w:r>
      <w:r w:rsidR="004523E6"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of those programs. </w:t>
      </w:r>
    </w:p>
    <w:p w14:paraId="390E87D2" w14:textId="23586DF4" w:rsidR="00401EAC" w:rsidRDefault="00DA02CA" w:rsidP="00777FDC">
      <w:pPr>
        <w:pStyle w:val="BodyText"/>
        <w:rPr>
          <w:rStyle w:val="fontstyle01"/>
          <w:rFonts w:asciiTheme="minorHAnsi" w:hAnsiTheme="minorHAnsi"/>
          <w:color w:val="auto"/>
          <w:szCs w:val="24"/>
        </w:rPr>
      </w:pPr>
      <w:r>
        <w:rPr>
          <w:rStyle w:val="fontstyle01"/>
          <w:rFonts w:asciiTheme="minorHAnsi" w:hAnsiTheme="minorHAnsi"/>
          <w:color w:val="auto"/>
          <w:szCs w:val="24"/>
        </w:rPr>
        <w:t xml:space="preserve">As a background to this document, 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Vision 2020 Australia </w:t>
      </w:r>
      <w:r w:rsidR="00457AB7">
        <w:rPr>
          <w:rStyle w:val="fontstyle01"/>
          <w:rFonts w:asciiTheme="minorHAnsi" w:hAnsiTheme="minorHAnsi"/>
          <w:color w:val="auto"/>
          <w:szCs w:val="24"/>
        </w:rPr>
        <w:t xml:space="preserve">also </w:t>
      </w:r>
      <w:r w:rsidRPr="0023007B">
        <w:rPr>
          <w:rStyle w:val="fontstyle01"/>
          <w:rFonts w:asciiTheme="minorHAnsi" w:hAnsiTheme="minorHAnsi"/>
          <w:color w:val="auto"/>
          <w:szCs w:val="24"/>
        </w:rPr>
        <w:t>provided feedback</w:t>
      </w:r>
      <w:r>
        <w:rPr>
          <w:rStyle w:val="fontstyle01"/>
          <w:rFonts w:asciiTheme="minorHAnsi" w:hAnsiTheme="minorHAnsi"/>
          <w:color w:val="auto"/>
          <w:szCs w:val="24"/>
        </w:rPr>
        <w:t xml:space="preserve"> to</w:t>
      </w:r>
      <w:r w:rsidR="00777FDC">
        <w:rPr>
          <w:rStyle w:val="fontstyle01"/>
          <w:rFonts w:asciiTheme="minorHAnsi" w:hAnsiTheme="minorHAnsi"/>
          <w:color w:val="auto"/>
          <w:szCs w:val="24"/>
        </w:rPr>
        <w:t xml:space="preserve"> Australian Government</w:t>
      </w:r>
      <w:r>
        <w:rPr>
          <w:rStyle w:val="fontstyle01"/>
          <w:rFonts w:asciiTheme="minorHAnsi" w:hAnsiTheme="minorHAnsi"/>
          <w:color w:val="auto"/>
          <w:szCs w:val="24"/>
        </w:rPr>
        <w:t xml:space="preserve"> Department of Health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>
        <w:rPr>
          <w:rStyle w:val="fontstyle01"/>
          <w:rFonts w:asciiTheme="minorHAnsi" w:hAnsiTheme="minorHAnsi"/>
          <w:color w:val="auto"/>
          <w:szCs w:val="24"/>
        </w:rPr>
        <w:t>on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 the </w:t>
      </w:r>
      <w:hyperlink r:id="rId20" w:history="1">
        <w:r w:rsidRPr="0023007B">
          <w:rPr>
            <w:rStyle w:val="Hyperlink"/>
            <w:rFonts w:cstheme="minorHAnsi"/>
            <w:szCs w:val="22"/>
          </w:rPr>
          <w:t>Revised Outreach Service Delivery</w:t>
        </w:r>
        <w:r w:rsidRPr="0023007B">
          <w:rPr>
            <w:rStyle w:val="Hyperlink"/>
            <w:rFonts w:cstheme="minorHAnsi"/>
          </w:rPr>
          <w:t xml:space="preserve"> </w:t>
        </w:r>
        <w:r w:rsidRPr="0023007B">
          <w:rPr>
            <w:rStyle w:val="Hyperlink"/>
            <w:rFonts w:cstheme="minorHAnsi"/>
            <w:szCs w:val="22"/>
          </w:rPr>
          <w:t>Standards and Reporting</w:t>
        </w:r>
        <w:r w:rsidR="00185FAC">
          <w:rPr>
            <w:rStyle w:val="Hyperlink"/>
            <w:rFonts w:cstheme="minorHAnsi"/>
            <w:szCs w:val="22"/>
          </w:rPr>
          <w:t xml:space="preserve"> </w:t>
        </w:r>
        <w:r w:rsidRPr="0023007B">
          <w:rPr>
            <w:rStyle w:val="Hyperlink"/>
            <w:rFonts w:cstheme="minorHAnsi"/>
            <w:szCs w:val="22"/>
          </w:rPr>
          <w:t>Template</w:t>
        </w:r>
      </w:hyperlink>
      <w:r w:rsidRPr="00470EA5"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>
        <w:rPr>
          <w:rStyle w:val="fontstyle01"/>
          <w:rFonts w:asciiTheme="minorHAnsi" w:hAnsiTheme="minorHAnsi"/>
          <w:color w:val="auto"/>
          <w:szCs w:val="24"/>
        </w:rPr>
        <w:t>i</w:t>
      </w:r>
      <w:r w:rsidRPr="0023007B">
        <w:rPr>
          <w:rStyle w:val="fontstyle01"/>
          <w:rFonts w:asciiTheme="minorHAnsi" w:hAnsiTheme="minorHAnsi"/>
          <w:color w:val="auto"/>
          <w:szCs w:val="24"/>
        </w:rPr>
        <w:t>n August 2020</w:t>
      </w:r>
      <w:r>
        <w:rPr>
          <w:rStyle w:val="fontstyle01"/>
          <w:rFonts w:asciiTheme="minorHAnsi" w:hAnsiTheme="minorHAnsi"/>
          <w:color w:val="auto"/>
          <w:szCs w:val="24"/>
        </w:rPr>
        <w:t>.</w:t>
      </w:r>
      <w:r>
        <w:rPr>
          <w:rStyle w:val="FootnoteReference"/>
          <w:rFonts w:cstheme="minorHAnsi"/>
          <w:color w:val="000000"/>
          <w:szCs w:val="22"/>
        </w:rPr>
        <w:footnoteReference w:id="3"/>
      </w:r>
      <w:r>
        <w:rPr>
          <w:rStyle w:val="fontstyle01"/>
          <w:rFonts w:asciiTheme="minorHAnsi" w:hAnsiTheme="minorHAnsi"/>
          <w:color w:val="auto"/>
          <w:szCs w:val="24"/>
        </w:rPr>
        <w:t xml:space="preserve"> T</w:t>
      </w:r>
      <w:r w:rsidR="00401EAC">
        <w:rPr>
          <w:rStyle w:val="fontstyle01"/>
          <w:rFonts w:asciiTheme="minorHAnsi" w:hAnsiTheme="minorHAnsi"/>
          <w:color w:val="auto"/>
          <w:szCs w:val="24"/>
        </w:rPr>
        <w:t xml:space="preserve">hat submission contained 13 recommendations which </w:t>
      </w:r>
      <w:r>
        <w:rPr>
          <w:rStyle w:val="fontstyle01"/>
          <w:rFonts w:asciiTheme="minorHAnsi" w:hAnsiTheme="minorHAnsi"/>
          <w:color w:val="auto"/>
          <w:szCs w:val="24"/>
        </w:rPr>
        <w:t>reflect</w:t>
      </w:r>
      <w:r w:rsidR="00401EAC">
        <w:rPr>
          <w:rStyle w:val="fontstyle01"/>
          <w:rFonts w:asciiTheme="minorHAnsi" w:hAnsiTheme="minorHAnsi"/>
          <w:color w:val="auto"/>
          <w:szCs w:val="24"/>
        </w:rPr>
        <w:t>ed</w:t>
      </w:r>
      <w:r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 w:rsidR="00401EAC">
        <w:rPr>
          <w:rStyle w:val="fontstyle01"/>
          <w:rFonts w:asciiTheme="minorHAnsi" w:hAnsiTheme="minorHAnsi"/>
          <w:color w:val="auto"/>
          <w:szCs w:val="24"/>
        </w:rPr>
        <w:t>our c</w:t>
      </w:r>
      <w:r w:rsidRPr="0023007B">
        <w:rPr>
          <w:rStyle w:val="fontstyle01"/>
          <w:rFonts w:asciiTheme="minorHAnsi" w:hAnsiTheme="minorHAnsi"/>
          <w:color w:val="auto"/>
          <w:szCs w:val="24"/>
        </w:rPr>
        <w:t xml:space="preserve">onsultation with organisations actively involved in the planning, delivery and promotion of eye health outreach </w:t>
      </w:r>
      <w:r w:rsidRPr="00777FDC">
        <w:rPr>
          <w:rStyle w:val="fontstyle01"/>
          <w:rFonts w:asciiTheme="minorHAnsi" w:hAnsiTheme="minorHAnsi"/>
          <w:color w:val="auto"/>
          <w:szCs w:val="24"/>
        </w:rPr>
        <w:t>programs</w:t>
      </w:r>
      <w:r>
        <w:rPr>
          <w:rStyle w:val="fontstyle01"/>
          <w:rFonts w:asciiTheme="minorHAnsi" w:hAnsiTheme="minorHAnsi"/>
          <w:color w:val="auto"/>
          <w:szCs w:val="24"/>
        </w:rPr>
        <w:t>.</w:t>
      </w:r>
    </w:p>
    <w:p w14:paraId="0174C68B" w14:textId="28EDE693" w:rsidR="0062296C" w:rsidRPr="008D64E8" w:rsidRDefault="004535A2" w:rsidP="008D64E8">
      <w:pPr>
        <w:pStyle w:val="BodyText"/>
        <w:rPr>
          <w:rStyle w:val="fontstyle01"/>
          <w:rFonts w:asciiTheme="minorHAnsi" w:hAnsiTheme="minorHAnsi"/>
          <w:color w:val="auto"/>
          <w:szCs w:val="24"/>
        </w:rPr>
      </w:pPr>
      <w:r w:rsidRPr="008D64E8">
        <w:rPr>
          <w:rStyle w:val="fontstyle01"/>
          <w:rFonts w:asciiTheme="minorHAnsi" w:hAnsiTheme="minorHAnsi"/>
          <w:color w:val="auto"/>
          <w:szCs w:val="24"/>
        </w:rPr>
        <w:t>It is our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 xml:space="preserve"> hope</w:t>
      </w:r>
      <w:r w:rsidRPr="008D64E8">
        <w:rPr>
          <w:rStyle w:val="fontstyle01"/>
          <w:rFonts w:asciiTheme="minorHAnsi" w:hAnsiTheme="minorHAnsi"/>
          <w:color w:val="auto"/>
          <w:szCs w:val="24"/>
        </w:rPr>
        <w:t xml:space="preserve"> that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 xml:space="preserve"> t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his document, together with </w:t>
      </w:r>
      <w:r w:rsidR="000236F4" w:rsidRPr="008D64E8">
        <w:rPr>
          <w:rStyle w:val="fontstyle01"/>
          <w:rFonts w:asciiTheme="minorHAnsi" w:hAnsiTheme="minorHAnsi"/>
          <w:color w:val="auto"/>
          <w:szCs w:val="24"/>
        </w:rPr>
        <w:t>our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 August 2020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 w:rsidR="000236F4" w:rsidRPr="008D64E8">
        <w:rPr>
          <w:rStyle w:val="fontstyle01"/>
          <w:rFonts w:asciiTheme="minorHAnsi" w:hAnsiTheme="minorHAnsi"/>
          <w:color w:val="auto"/>
          <w:szCs w:val="24"/>
        </w:rPr>
        <w:t>S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>ubmission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 and feedback </w:t>
      </w:r>
      <w:r w:rsidR="0095273E" w:rsidRPr="008D64E8">
        <w:rPr>
          <w:rStyle w:val="fontstyle01"/>
          <w:rFonts w:asciiTheme="minorHAnsi" w:hAnsiTheme="minorHAnsi"/>
          <w:color w:val="auto"/>
          <w:szCs w:val="24"/>
        </w:rPr>
        <w:t>provided by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 individual organisations during the </w:t>
      </w:r>
      <w:r w:rsidRPr="008D64E8">
        <w:rPr>
          <w:rStyle w:val="fontstyle01"/>
          <w:rFonts w:asciiTheme="minorHAnsi" w:hAnsiTheme="minorHAnsi"/>
          <w:color w:val="auto"/>
          <w:szCs w:val="24"/>
        </w:rPr>
        <w:t>consultation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 process</w:t>
      </w:r>
      <w:r w:rsidR="00185FAC" w:rsidRPr="008D64E8">
        <w:rPr>
          <w:rStyle w:val="fontstyle01"/>
          <w:rFonts w:asciiTheme="minorHAnsi" w:hAnsiTheme="minorHAnsi"/>
          <w:color w:val="auto"/>
          <w:szCs w:val="24"/>
        </w:rPr>
        <w:t>,</w:t>
      </w:r>
      <w:r w:rsidR="000236F4" w:rsidRPr="008D64E8">
        <w:rPr>
          <w:rStyle w:val="fontstyle01"/>
          <w:rFonts w:asciiTheme="minorHAnsi" w:hAnsiTheme="minorHAnsi"/>
          <w:color w:val="auto"/>
          <w:szCs w:val="24"/>
        </w:rPr>
        <w:t xml:space="preserve"> 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will be considered by HPA 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>in its</w:t>
      </w:r>
      <w:r w:rsidRPr="008D64E8">
        <w:rPr>
          <w:rStyle w:val="fontstyle01"/>
          <w:rFonts w:asciiTheme="minorHAnsi" w:hAnsiTheme="minorHAnsi"/>
          <w:color w:val="auto"/>
          <w:szCs w:val="24"/>
        </w:rPr>
        <w:t xml:space="preserve"> final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 xml:space="preserve"> evaluation </w:t>
      </w:r>
      <w:r w:rsidR="008F0A2D" w:rsidRPr="008D64E8">
        <w:rPr>
          <w:rStyle w:val="fontstyle01"/>
          <w:rFonts w:asciiTheme="minorHAnsi" w:hAnsiTheme="minorHAnsi"/>
          <w:color w:val="auto"/>
          <w:szCs w:val="24"/>
        </w:rPr>
        <w:t>report</w:t>
      </w:r>
      <w:r w:rsidRPr="008D64E8">
        <w:rPr>
          <w:rStyle w:val="fontstyle01"/>
          <w:rFonts w:asciiTheme="minorHAnsi" w:hAnsiTheme="minorHAnsi"/>
          <w:color w:val="auto"/>
          <w:szCs w:val="24"/>
        </w:rPr>
        <w:t xml:space="preserve"> to the Department of Health</w:t>
      </w:r>
      <w:r w:rsidR="0039190E" w:rsidRPr="008D64E8">
        <w:rPr>
          <w:rStyle w:val="fontstyle01"/>
          <w:rFonts w:asciiTheme="minorHAnsi" w:hAnsiTheme="minorHAnsi"/>
          <w:color w:val="auto"/>
          <w:szCs w:val="24"/>
        </w:rPr>
        <w:t>, with the aim of supporting the</w:t>
      </w:r>
      <w:r w:rsidR="00DA02CA" w:rsidRPr="008D64E8">
        <w:rPr>
          <w:rStyle w:val="fontstyle01"/>
          <w:rFonts w:asciiTheme="minorHAnsi" w:hAnsiTheme="minorHAnsi"/>
          <w:color w:val="auto"/>
          <w:szCs w:val="24"/>
        </w:rPr>
        <w:t xml:space="preserve"> increased effectiveness and direction of the future of eye health outreach programs in Australia.</w:t>
      </w:r>
    </w:p>
    <w:p w14:paraId="13FEDBBF" w14:textId="2FC546E1" w:rsidR="0062296C" w:rsidRDefault="00BC5492" w:rsidP="0062296C">
      <w:pPr>
        <w:pStyle w:val="Heading2"/>
        <w:rPr>
          <w:rStyle w:val="fontstyle01"/>
          <w:rFonts w:asciiTheme="majorHAnsi" w:hAnsiTheme="majorHAnsi"/>
          <w:color w:val="004B8D" w:themeColor="accent1"/>
          <w:sz w:val="24"/>
          <w:szCs w:val="28"/>
        </w:rPr>
      </w:pPr>
      <w:bookmarkStart w:id="2" w:name="_Toc99983990"/>
      <w:r>
        <w:t xml:space="preserve">Aboriginal and Torres Strait Islander </w:t>
      </w:r>
      <w:r w:rsidR="00EA72F6">
        <w:t>leadership and self-determination</w:t>
      </w:r>
      <w:bookmarkEnd w:id="2"/>
    </w:p>
    <w:p w14:paraId="2759493C" w14:textId="09420EE4" w:rsidR="0062296C" w:rsidRPr="00585794" w:rsidRDefault="0062296C" w:rsidP="0062296C">
      <w:pPr>
        <w:pStyle w:val="BodyText"/>
      </w:pPr>
      <w:r>
        <w:t xml:space="preserve">Vision 2020 Australia and </w:t>
      </w:r>
      <w:r w:rsidR="00777FDC">
        <w:t>our</w:t>
      </w:r>
      <w:r>
        <w:t xml:space="preserve"> members strongly </w:t>
      </w:r>
      <w:r w:rsidR="00E82023">
        <w:t>support</w:t>
      </w:r>
      <w:r>
        <w:t xml:space="preserve"> Aboriginal and Torres Strait Islander </w:t>
      </w:r>
      <w:r w:rsidR="006F6BC0">
        <w:t>P</w:t>
      </w:r>
      <w:r w:rsidR="00E82023">
        <w:t>eoples</w:t>
      </w:r>
      <w:r w:rsidR="006F6BC0">
        <w:t>’</w:t>
      </w:r>
      <w:r w:rsidR="00E82023">
        <w:t xml:space="preserve"> right to </w:t>
      </w:r>
      <w:r w:rsidRPr="00585794">
        <w:t>shape the design, implementation, monitoring and evaluation of programs aimed to improve their life outcomes</w:t>
      </w:r>
      <w:r w:rsidR="00E82023">
        <w:t>, as outlined in</w:t>
      </w:r>
      <w:r w:rsidR="00BD1BBB">
        <w:t xml:space="preserve"> </w:t>
      </w:r>
      <w:hyperlink r:id="rId21" w:history="1">
        <w:r w:rsidR="00BD1BBB">
          <w:rPr>
            <w:rStyle w:val="Hyperlink"/>
          </w:rPr>
          <w:t>The National Agreement on Closing the Gap</w:t>
        </w:r>
      </w:hyperlink>
      <w:r w:rsidR="00BD1BBB">
        <w:rPr>
          <w:rStyle w:val="Hyperlink"/>
        </w:rPr>
        <w:t xml:space="preserve"> (July 2020)</w:t>
      </w:r>
      <w:r w:rsidRPr="00585794">
        <w:t>.</w:t>
      </w:r>
      <w:r w:rsidRPr="00585794">
        <w:rPr>
          <w:rStyle w:val="FootnoteReference"/>
        </w:rPr>
        <w:footnoteReference w:id="4"/>
      </w:r>
      <w:r w:rsidRPr="00585794">
        <w:t xml:space="preserve"> </w:t>
      </w:r>
    </w:p>
    <w:p w14:paraId="43B2D31F" w14:textId="61C44BD0" w:rsidR="00EA72F6" w:rsidRDefault="00365D77" w:rsidP="0062296C">
      <w:pPr>
        <w:pStyle w:val="BodyText"/>
      </w:pPr>
      <w:r>
        <w:t xml:space="preserve">We call for </w:t>
      </w:r>
      <w:r w:rsidR="0062296C">
        <w:t xml:space="preserve">greater </w:t>
      </w:r>
      <w:r>
        <w:t xml:space="preserve">engagement, co-design and </w:t>
      </w:r>
      <w:r w:rsidR="00BD1BBB">
        <w:t>shared decision</w:t>
      </w:r>
      <w:r w:rsidR="00777FDC">
        <w:t>-</w:t>
      </w:r>
      <w:r w:rsidR="00BD1BBB">
        <w:t>making with</w:t>
      </w:r>
      <w:r w:rsidR="0062296C">
        <w:t xml:space="preserve"> Aboriginal and Torres Strait Islander organisations</w:t>
      </w:r>
      <w:r w:rsidR="00BD1BBB">
        <w:t>; as well as investment in strengthening the Aboriginal and Torres Strait Islander Community Controlled Sector.</w:t>
      </w:r>
    </w:p>
    <w:p w14:paraId="1D47476E" w14:textId="64E6BC66" w:rsidR="007864FC" w:rsidRDefault="007E2D9B" w:rsidP="0062296C">
      <w:pPr>
        <w:pStyle w:val="BodyText"/>
        <w:rPr>
          <w:rStyle w:val="fontstyle01"/>
          <w:rFonts w:asciiTheme="minorHAnsi" w:hAnsiTheme="minorHAnsi"/>
          <w:color w:val="auto"/>
        </w:rPr>
      </w:pPr>
      <w:r>
        <w:t>Design and implementation of outreach programs must also incorporate p</w:t>
      </w:r>
      <w:r w:rsidR="00E82023">
        <w:t>atient</w:t>
      </w:r>
      <w:r>
        <w:t xml:space="preserve"> (</w:t>
      </w:r>
      <w:r w:rsidR="00777FDC">
        <w:t>and other</w:t>
      </w:r>
      <w:r>
        <w:t xml:space="preserve"> </w:t>
      </w:r>
      <w:r w:rsidR="00E82023">
        <w:t>end-user</w:t>
      </w:r>
      <w:r>
        <w:t>)</w:t>
      </w:r>
      <w:r w:rsidR="00E82023">
        <w:t xml:space="preserve"> perspective</w:t>
      </w:r>
      <w:r w:rsidR="00777FDC">
        <w:t>s</w:t>
      </w:r>
      <w:r w:rsidR="006F6BC0">
        <w:t xml:space="preserve">, to ensure </w:t>
      </w:r>
      <w:r w:rsidR="00E82023" w:rsidRPr="00585794">
        <w:t>responsive</w:t>
      </w:r>
      <w:r w:rsidR="006F6BC0">
        <w:t xml:space="preserve">, </w:t>
      </w:r>
      <w:r w:rsidR="00E82023">
        <w:t>culturally</w:t>
      </w:r>
      <w:r w:rsidR="006F6BC0">
        <w:t>-</w:t>
      </w:r>
      <w:r w:rsidR="00E82023">
        <w:t>appropriate</w:t>
      </w:r>
      <w:r w:rsidR="006F6BC0">
        <w:t xml:space="preserve"> and</w:t>
      </w:r>
      <w:r w:rsidR="00E82023">
        <w:t xml:space="preserve"> </w:t>
      </w:r>
      <w:r w:rsidR="00E82023" w:rsidRPr="00585794">
        <w:t>integrated people-centred care</w:t>
      </w:r>
      <w:r>
        <w:t xml:space="preserve"> is delivered</w:t>
      </w:r>
      <w:r w:rsidR="00E82023" w:rsidRPr="7DCE1325">
        <w:rPr>
          <w:rStyle w:val="fontstyle01"/>
          <w:rFonts w:asciiTheme="minorHAnsi" w:hAnsiTheme="minorHAnsi"/>
          <w:color w:val="auto"/>
        </w:rPr>
        <w:t>.</w:t>
      </w:r>
      <w:r w:rsidR="00E82023" w:rsidRPr="008D64E8">
        <w:rPr>
          <w:rStyle w:val="FootnoteReference"/>
          <w:szCs w:val="22"/>
        </w:rPr>
        <w:footnoteReference w:id="5"/>
      </w:r>
    </w:p>
    <w:p w14:paraId="32AC66E8" w14:textId="4CFC825E" w:rsidR="00BC5492" w:rsidRDefault="00BC5492" w:rsidP="00BC5492">
      <w:pPr>
        <w:pStyle w:val="Heading2"/>
      </w:pPr>
      <w:bookmarkStart w:id="3" w:name="_Toc99983991"/>
      <w:r>
        <w:t>Indigenous Data Sovereignty</w:t>
      </w:r>
      <w:bookmarkEnd w:id="3"/>
    </w:p>
    <w:p w14:paraId="444F0F11" w14:textId="02D69077" w:rsidR="007E2D9B" w:rsidRPr="0062296C" w:rsidRDefault="007E2D9B" w:rsidP="007E2D9B">
      <w:pPr>
        <w:pStyle w:val="BodyText"/>
        <w:rPr>
          <w:rStyle w:val="fontstyle01"/>
          <w:rFonts w:asciiTheme="minorHAnsi" w:hAnsiTheme="minorHAnsi"/>
          <w:color w:val="auto"/>
          <w:szCs w:val="24"/>
        </w:rPr>
      </w:pPr>
      <w:r>
        <w:t xml:space="preserve">Outreach programs design must incorporate stronger data ownership and sharing requirements to ensure that Aboriginal and Torres Strait Islander Peoples and organisations have access to, and </w:t>
      </w:r>
      <w:r>
        <w:lastRenderedPageBreak/>
        <w:t>capability to use locally-relevant data to set, drive and monitor activities relevant to their health and well-being.</w:t>
      </w:r>
    </w:p>
    <w:p w14:paraId="286DC119" w14:textId="43381FAE" w:rsidR="00BC5492" w:rsidRPr="00FC66E2" w:rsidRDefault="008E0328" w:rsidP="00BC5492">
      <w:pPr>
        <w:pStyle w:val="BodyText"/>
      </w:pPr>
      <w:r>
        <w:t xml:space="preserve">Vision 2020 Australia </w:t>
      </w:r>
      <w:r w:rsidR="00777FDC">
        <w:t xml:space="preserve">and our members </w:t>
      </w:r>
      <w:r w:rsidR="0020176E">
        <w:t xml:space="preserve">strongly </w:t>
      </w:r>
      <w:r w:rsidR="00BC5492" w:rsidRPr="00DD4076">
        <w:t xml:space="preserve">support Indigenous data sovereignty and the right of Aboriginal and Torres Strait Islander </w:t>
      </w:r>
      <w:r>
        <w:t>P</w:t>
      </w:r>
      <w:r w:rsidR="00BC5492" w:rsidRPr="00DD4076">
        <w:t>eople</w:t>
      </w:r>
      <w:r>
        <w:t>s</w:t>
      </w:r>
      <w:r w:rsidR="00BC5492" w:rsidRPr="00DD4076">
        <w:t xml:space="preserve"> to exercise ownership, governance and access over Indigenous data to set, drive and monitor their own development and priorities (as outlined in </w:t>
      </w:r>
      <w:hyperlink r:id="rId22" w:history="1">
        <w:r w:rsidR="00777FDC">
          <w:rPr>
            <w:rStyle w:val="Hyperlink"/>
          </w:rPr>
          <w:t>National Agreement on Closing the Gap</w:t>
        </w:r>
      </w:hyperlink>
      <w:r w:rsidR="00BC5492" w:rsidRPr="00FC66E2">
        <w:t>).</w:t>
      </w:r>
      <w:r w:rsidR="00BC5492" w:rsidRPr="00234B90">
        <w:rPr>
          <w:rStyle w:val="FootnoteReference"/>
          <w:rFonts w:asciiTheme="majorHAnsi" w:hAnsiTheme="majorHAnsi" w:cstheme="majorHAnsi"/>
          <w:sz w:val="24"/>
        </w:rPr>
        <w:footnoteReference w:id="6"/>
      </w:r>
      <w:r w:rsidR="00BC5492" w:rsidRPr="00234B90">
        <w:rPr>
          <w:sz w:val="24"/>
          <w:vertAlign w:val="superscript"/>
        </w:rPr>
        <w:t xml:space="preserve">, </w:t>
      </w:r>
      <w:r w:rsidR="00BC5492" w:rsidRPr="00234B90">
        <w:rPr>
          <w:rStyle w:val="FootnoteReference"/>
          <w:sz w:val="24"/>
        </w:rPr>
        <w:footnoteReference w:id="7"/>
      </w:r>
      <w:r w:rsidR="00BC5492" w:rsidRPr="00FC66E2">
        <w:t xml:space="preserve">  </w:t>
      </w:r>
    </w:p>
    <w:p w14:paraId="6B2A1798" w14:textId="64816D1A" w:rsidR="0010190D" w:rsidRDefault="0062296C" w:rsidP="00C40A22">
      <w:pPr>
        <w:pStyle w:val="Heading2"/>
      </w:pPr>
      <w:bookmarkStart w:id="4" w:name="_Toc99983992"/>
      <w:r w:rsidRPr="0062296C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>Transparency</w:t>
      </w:r>
      <w:r w:rsidR="0059250C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 xml:space="preserve"> in Needs Assessment, Decision Making and Governance</w:t>
      </w:r>
      <w:r w:rsidR="002C18BC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 xml:space="preserve"> Processes</w:t>
      </w:r>
      <w:bookmarkEnd w:id="4"/>
    </w:p>
    <w:p w14:paraId="1B161EA2" w14:textId="77777777" w:rsidR="007E2D9B" w:rsidRDefault="007E2D9B" w:rsidP="008E0328">
      <w:pPr>
        <w:pStyle w:val="BodyText"/>
      </w:pPr>
      <w:r>
        <w:t>C</w:t>
      </w:r>
      <w:r w:rsidR="006E4D96" w:rsidRPr="008E0328">
        <w:t xml:space="preserve">urrent </w:t>
      </w:r>
      <w:hyperlink r:id="rId23" w:history="1">
        <w:r w:rsidR="006E4D96" w:rsidRPr="008E0328">
          <w:rPr>
            <w:rStyle w:val="Hyperlink"/>
            <w:color w:val="auto"/>
            <w:u w:val="none"/>
          </w:rPr>
          <w:t>Outreach Programs Service Delivery Standards</w:t>
        </w:r>
      </w:hyperlink>
      <w:r w:rsidR="0010190D">
        <w:rPr>
          <w:rStyle w:val="Hyperlink"/>
          <w:color w:val="auto"/>
          <w:u w:val="none"/>
        </w:rPr>
        <w:t xml:space="preserve"> require</w:t>
      </w:r>
      <w:r w:rsidR="006E4D96" w:rsidRPr="008E0328">
        <w:t xml:space="preserve"> jurisdictional fundholders to conduct annual Needs Assessment</w:t>
      </w:r>
      <w:r w:rsidR="0010190D">
        <w:t>s</w:t>
      </w:r>
      <w:r w:rsidR="006E4D96" w:rsidRPr="008E0328">
        <w:t xml:space="preserve"> to identify priority needs and locations within their jurisdiction</w:t>
      </w:r>
      <w:r>
        <w:t>.</w:t>
      </w:r>
      <w:r w:rsidR="006E4D96" w:rsidRPr="008E0328">
        <w:rPr>
          <w:vertAlign w:val="superscript"/>
        </w:rPr>
        <w:footnoteReference w:id="8"/>
      </w:r>
      <w:r w:rsidR="0010190D">
        <w:t xml:space="preserve"> </w:t>
      </w:r>
    </w:p>
    <w:p w14:paraId="6498E8C6" w14:textId="7BA46921" w:rsidR="008E0328" w:rsidRDefault="007E2D9B" w:rsidP="008E0328">
      <w:pPr>
        <w:pStyle w:val="BodyText"/>
      </w:pPr>
      <w:r>
        <w:t>F</w:t>
      </w:r>
      <w:r w:rsidR="008E0328" w:rsidRPr="008E0328">
        <w:t xml:space="preserve">eedback from </w:t>
      </w:r>
      <w:r w:rsidR="0010190D">
        <w:t xml:space="preserve">the </w:t>
      </w:r>
      <w:r w:rsidR="00B1211A">
        <w:t xml:space="preserve">Aboriginal </w:t>
      </w:r>
      <w:r w:rsidR="0010190D">
        <w:t>Community</w:t>
      </w:r>
      <w:r w:rsidR="00B1211A">
        <w:t xml:space="preserve"> Controlled</w:t>
      </w:r>
      <w:r w:rsidR="0010190D">
        <w:t xml:space="preserve"> Sector</w:t>
      </w:r>
      <w:r w:rsidR="00B1211A">
        <w:t xml:space="preserve"> and our members</w:t>
      </w:r>
      <w:r w:rsidR="00264182">
        <w:t xml:space="preserve"> </w:t>
      </w:r>
      <w:r w:rsidR="008E0328" w:rsidRPr="008E0328">
        <w:t>indicates th</w:t>
      </w:r>
      <w:r w:rsidR="0059250C">
        <w:t>is</w:t>
      </w:r>
      <w:r w:rsidR="008E0328" w:rsidRPr="008E0328">
        <w:t xml:space="preserve"> </w:t>
      </w:r>
      <w:r w:rsidR="0010190D">
        <w:t xml:space="preserve">process </w:t>
      </w:r>
      <w:r w:rsidR="0059250C">
        <w:t xml:space="preserve">is </w:t>
      </w:r>
      <w:r w:rsidR="00B1211A">
        <w:t xml:space="preserve">frequently </w:t>
      </w:r>
      <w:r w:rsidR="008E0328" w:rsidRPr="008E0328">
        <w:t>opaque and insufficiently responsive</w:t>
      </w:r>
      <w:r w:rsidR="00021760">
        <w:t>.</w:t>
      </w:r>
      <w:r w:rsidR="00F8509A">
        <w:t xml:space="preserve"> </w:t>
      </w:r>
      <w:r w:rsidR="00B1211A">
        <w:t xml:space="preserve">Therefore, improved </w:t>
      </w:r>
      <w:r w:rsidR="00021760">
        <w:t>transparency</w:t>
      </w:r>
      <w:r w:rsidR="00264182">
        <w:t xml:space="preserve"> </w:t>
      </w:r>
      <w:r w:rsidR="00F8509A">
        <w:t>in</w:t>
      </w:r>
      <w:r w:rsidR="00DC62DB">
        <w:t xml:space="preserve"> needs determination, date, decision making, service planning and service design</w:t>
      </w:r>
      <w:r w:rsidR="00F8509A">
        <w:t xml:space="preserve"> </w:t>
      </w:r>
      <w:r w:rsidR="00B1211A">
        <w:t>is required</w:t>
      </w:r>
      <w:r w:rsidR="00DC62DB">
        <w:t>.</w:t>
      </w:r>
    </w:p>
    <w:p w14:paraId="2FDBB0A6" w14:textId="763478FB" w:rsidR="005D24F8" w:rsidRPr="00021760" w:rsidRDefault="005D24F8" w:rsidP="005D24F8">
      <w:pPr>
        <w:pStyle w:val="BodyText"/>
      </w:pPr>
      <w:r>
        <w:t xml:space="preserve">Program design must </w:t>
      </w:r>
      <w:r w:rsidR="00F41A3A">
        <w:t>also be</w:t>
      </w:r>
      <w:r>
        <w:t xml:space="preserve"> geared towards data and demand-driven</w:t>
      </w:r>
      <w:r w:rsidR="00F41A3A">
        <w:t xml:space="preserve"> best practice</w:t>
      </w:r>
      <w:r>
        <w:t xml:space="preserve"> models, where resources are allocated in accordance with population and community</w:t>
      </w:r>
      <w:r w:rsidR="00B32A84">
        <w:t xml:space="preserve"> priorities and</w:t>
      </w:r>
      <w:r>
        <w:t xml:space="preserve"> needs to ensure equity of access for all Australians, regardless of jurisdiction and remoteness.</w:t>
      </w:r>
    </w:p>
    <w:p w14:paraId="2CCF70DF" w14:textId="3B2D3CBD" w:rsidR="000916AC" w:rsidRDefault="000916AC" w:rsidP="006E4D96">
      <w:pPr>
        <w:pStyle w:val="BodyText"/>
      </w:pPr>
      <w:r>
        <w:t>Similarly, jurisdictional Outreach Advisory Fora must have</w:t>
      </w:r>
      <w:r w:rsidR="006E4D96">
        <w:t xml:space="preserve"> greater involvement of</w:t>
      </w:r>
      <w:r>
        <w:t xml:space="preserve"> (and meaningful engagement with)</w:t>
      </w:r>
      <w:r w:rsidR="006E4D96">
        <w:t xml:space="preserve"> Aboriginal Community Control Health </w:t>
      </w:r>
      <w:r>
        <w:t>sector</w:t>
      </w:r>
      <w:r w:rsidR="006E4D96">
        <w:t xml:space="preserve"> in the decision-making process</w:t>
      </w:r>
      <w:r w:rsidR="00DC62DB">
        <w:t xml:space="preserve"> to support Aboriginal and Torres Strait Islander</w:t>
      </w:r>
      <w:r w:rsidR="00B32A84">
        <w:t xml:space="preserve"> People’s</w:t>
      </w:r>
      <w:r w:rsidR="00DC62DB">
        <w:t xml:space="preserve"> self-determination, priority setting and leadership</w:t>
      </w:r>
      <w:r w:rsidR="006E4D96">
        <w:t xml:space="preserve">. </w:t>
      </w:r>
    </w:p>
    <w:p w14:paraId="6BF2CFBB" w14:textId="1EA9B950" w:rsidR="006E4D96" w:rsidRDefault="000916AC" w:rsidP="006E4D96">
      <w:pPr>
        <w:pStyle w:val="BodyTex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 would also</w:t>
      </w:r>
      <w:r w:rsidR="006E4D96" w:rsidRPr="7DCE1325">
        <w:rPr>
          <w:rFonts w:ascii="Arial" w:hAnsi="Arial" w:cs="Arial"/>
          <w:color w:val="000000" w:themeColor="text1"/>
        </w:rPr>
        <w:t xml:space="preserve"> recommend exploring opportunities to streamline delivery and administrative requirements for outreach services </w:t>
      </w:r>
      <w:r w:rsidR="00602FC4">
        <w:rPr>
          <w:rFonts w:ascii="Arial" w:hAnsi="Arial" w:cs="Arial"/>
          <w:color w:val="000000" w:themeColor="text1"/>
        </w:rPr>
        <w:t xml:space="preserve">funded </w:t>
      </w:r>
      <w:r w:rsidR="006E4D96" w:rsidRPr="7DCE1325">
        <w:rPr>
          <w:rFonts w:ascii="Arial" w:hAnsi="Arial" w:cs="Arial"/>
          <w:color w:val="000000" w:themeColor="text1"/>
        </w:rPr>
        <w:t xml:space="preserve">through multiple </w:t>
      </w:r>
      <w:r w:rsidR="00602FC4">
        <w:rPr>
          <w:rFonts w:ascii="Arial" w:hAnsi="Arial" w:cs="Arial"/>
          <w:color w:val="000000" w:themeColor="text1"/>
        </w:rPr>
        <w:t xml:space="preserve">outreach </w:t>
      </w:r>
      <w:r w:rsidR="006E4D96" w:rsidRPr="7DCE1325">
        <w:rPr>
          <w:rFonts w:ascii="Arial" w:hAnsi="Arial" w:cs="Arial"/>
          <w:color w:val="000000" w:themeColor="text1"/>
        </w:rPr>
        <w:t>funding streams, to improve efficiency and reduce the reporting burdens on ACCHOs and service providers.</w:t>
      </w:r>
    </w:p>
    <w:p w14:paraId="6E136BD4" w14:textId="77777777" w:rsidR="00B518BF" w:rsidRPr="00C032D5" w:rsidRDefault="00B518BF" w:rsidP="00B518BF">
      <w:pPr>
        <w:pStyle w:val="BodyText"/>
      </w:pPr>
      <w:r w:rsidRPr="00DD4076">
        <w:t>Monitoring and evaluation parameters and measures for outreach programs must be co-designed with community/ACCHO input to reflect priorities and outcomes that are meaningful to Aboriginal and Torres Strait Islander peoples</w:t>
      </w:r>
      <w:r>
        <w:t>.</w:t>
      </w:r>
    </w:p>
    <w:p w14:paraId="551D8DD6" w14:textId="56468E91" w:rsidR="008476BD" w:rsidRPr="0062296C" w:rsidRDefault="008476BD" w:rsidP="008476BD">
      <w:pPr>
        <w:pStyle w:val="Heading2"/>
        <w:rPr>
          <w:rStyle w:val="fontstyle01"/>
          <w:rFonts w:asciiTheme="majorHAnsi" w:hAnsiTheme="majorHAnsi"/>
          <w:color w:val="004B8D" w:themeColor="accent1"/>
          <w:sz w:val="24"/>
          <w:szCs w:val="28"/>
        </w:rPr>
      </w:pPr>
      <w:bookmarkStart w:id="5" w:name="_Toc99983993"/>
      <w:r w:rsidRPr="0062296C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>Leverag</w:t>
      </w:r>
      <w:r w:rsidR="00B70F19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>ing</w:t>
      </w:r>
      <w:r w:rsidRPr="0062296C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 xml:space="preserve"> </w:t>
      </w:r>
      <w:r w:rsidR="005D24F8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>th</w:t>
      </w:r>
      <w:r w:rsidR="00BC327E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>e current Outreach Programs</w:t>
      </w:r>
      <w:r w:rsidR="005D24F8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 xml:space="preserve"> Evaluation</w:t>
      </w:r>
      <w:r w:rsidRPr="0062296C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 xml:space="preserve"> to undertake a broader strategic planning process</w:t>
      </w:r>
      <w:r w:rsidR="00B70F19">
        <w:rPr>
          <w:rStyle w:val="fontstyle01"/>
          <w:rFonts w:asciiTheme="majorHAnsi" w:hAnsiTheme="majorHAnsi"/>
          <w:color w:val="004B8D" w:themeColor="accent1"/>
          <w:sz w:val="24"/>
          <w:szCs w:val="28"/>
        </w:rPr>
        <w:t xml:space="preserve"> for the future of outreach programs</w:t>
      </w:r>
      <w:bookmarkEnd w:id="5"/>
    </w:p>
    <w:p w14:paraId="75899C56" w14:textId="15A81260" w:rsidR="008476BD" w:rsidRDefault="008476BD" w:rsidP="008476BD">
      <w:pPr>
        <w:pStyle w:val="BodyText"/>
      </w:pPr>
      <w:r>
        <w:t xml:space="preserve">With the current outreach eye care programs funded until 2024, Vision 2020 Australia and </w:t>
      </w:r>
      <w:r w:rsidR="005D24F8">
        <w:t>our</w:t>
      </w:r>
      <w:r>
        <w:t xml:space="preserve"> members feel </w:t>
      </w:r>
      <w:r w:rsidR="005D24F8">
        <w:t>the</w:t>
      </w:r>
      <w:r>
        <w:t xml:space="preserve"> opportunity</w:t>
      </w:r>
      <w:r w:rsidR="005D24F8">
        <w:t xml:space="preserve"> is now</w:t>
      </w:r>
      <w:r>
        <w:t xml:space="preserve"> for the Commonwealth Department of Health to develop a vision and strategic plan for the future of eye care service delivery in Australia. </w:t>
      </w:r>
    </w:p>
    <w:p w14:paraId="3B3F82B5" w14:textId="75506417" w:rsidR="008476BD" w:rsidRDefault="008476BD" w:rsidP="008476BD">
      <w:pPr>
        <w:pStyle w:val="BodyText"/>
      </w:pPr>
      <w:r>
        <w:t>Such strategic planning process should include consultation</w:t>
      </w:r>
      <w:r w:rsidR="005D24F8">
        <w:t>s</w:t>
      </w:r>
      <w:r>
        <w:t xml:space="preserve"> with all relevant </w:t>
      </w:r>
      <w:r w:rsidR="005D24F8">
        <w:t xml:space="preserve">key </w:t>
      </w:r>
      <w:r>
        <w:t xml:space="preserve">stakeholders, </w:t>
      </w:r>
      <w:r w:rsidR="009A42F2">
        <w:t>including: clients (and their support networks)</w:t>
      </w:r>
      <w:r>
        <w:t>,</w:t>
      </w:r>
      <w:r w:rsidR="009A42F2" w:rsidRPr="009A42F2">
        <w:t xml:space="preserve"> </w:t>
      </w:r>
      <w:r w:rsidR="009A42F2">
        <w:t>community,</w:t>
      </w:r>
      <w:r>
        <w:t xml:space="preserve"> Aboriginal and Torres Strait Islander Community Health Sector, eye care service providers</w:t>
      </w:r>
      <w:r w:rsidR="009A42F2">
        <w:t>/professional bodies</w:t>
      </w:r>
      <w:r>
        <w:t>, jurisdictional fundholders and governments</w:t>
      </w:r>
      <w:r w:rsidR="001A5437">
        <w:t xml:space="preserve"> of all levels</w:t>
      </w:r>
      <w:r>
        <w:t>.</w:t>
      </w:r>
    </w:p>
    <w:p w14:paraId="0CDCDE80" w14:textId="6B998571" w:rsidR="00021760" w:rsidRDefault="00021760" w:rsidP="00021760">
      <w:pPr>
        <w:pStyle w:val="BodyText"/>
      </w:pPr>
      <w:r>
        <w:lastRenderedPageBreak/>
        <w:t xml:space="preserve">The purview of this </w:t>
      </w:r>
      <w:r w:rsidR="005D24F8">
        <w:t>broader strategic planning process s</w:t>
      </w:r>
      <w:r>
        <w:t xml:space="preserve">hould encompass: </w:t>
      </w:r>
    </w:p>
    <w:p w14:paraId="105092EB" w14:textId="77777777" w:rsidR="00021760" w:rsidRDefault="00021760" w:rsidP="00021760">
      <w:pPr>
        <w:pStyle w:val="BodyText"/>
        <w:numPr>
          <w:ilvl w:val="0"/>
          <w:numId w:val="36"/>
        </w:numPr>
      </w:pPr>
      <w:r>
        <w:t>A holistic and strategic review and future planning for Aboriginal and Torres Strait Islander eye care services, including outreach programs, PHNs and ITC funding;</w:t>
      </w:r>
    </w:p>
    <w:p w14:paraId="7E21009B" w14:textId="6EB937E1" w:rsidR="00021760" w:rsidRDefault="00491E17" w:rsidP="00021760">
      <w:pPr>
        <w:pStyle w:val="BodyText"/>
        <w:numPr>
          <w:ilvl w:val="0"/>
          <w:numId w:val="36"/>
        </w:numPr>
      </w:pPr>
      <w:r>
        <w:t>D</w:t>
      </w:r>
      <w:r w:rsidR="00021760">
        <w:t>esign of best-practice, population and data driven models of service delivery, including ACCHO-controlled and permanently embedded services, or, where this is not appropriate, co-designed outreach models;</w:t>
      </w:r>
    </w:p>
    <w:p w14:paraId="53214633" w14:textId="77777777" w:rsidR="00021760" w:rsidRDefault="00021760" w:rsidP="00021760">
      <w:pPr>
        <w:pStyle w:val="BodyText"/>
        <w:numPr>
          <w:ilvl w:val="0"/>
          <w:numId w:val="36"/>
        </w:numPr>
      </w:pPr>
      <w:r>
        <w:t>Investment into the development of the community-controlled sector, with a strong and sustainable Aboriginal and Torres Strait Islander, and regional and rural workforce;</w:t>
      </w:r>
    </w:p>
    <w:p w14:paraId="3E8EF12A" w14:textId="52A19232" w:rsidR="00021760" w:rsidRDefault="00021760" w:rsidP="00021760">
      <w:pPr>
        <w:pStyle w:val="BodyText"/>
        <w:numPr>
          <w:ilvl w:val="0"/>
          <w:numId w:val="36"/>
        </w:numPr>
      </w:pPr>
      <w:r>
        <w:t>Focus on structuring systems for effective recruitment, development and retention of eye care sector workforce to ensure outreach service delivery is adequately resourced, sustainable, equitable and accessible into the future;</w:t>
      </w:r>
    </w:p>
    <w:p w14:paraId="0CC69B8C" w14:textId="77777777" w:rsidR="00021760" w:rsidRDefault="00021760" w:rsidP="00021760">
      <w:pPr>
        <w:pStyle w:val="BodyText"/>
        <w:numPr>
          <w:ilvl w:val="0"/>
          <w:numId w:val="36"/>
        </w:numPr>
      </w:pPr>
      <w:r>
        <w:t>Investment in local coordination and case management to maximise the effectiveness of available outreach and other services and build effective local pathways to care;</w:t>
      </w:r>
    </w:p>
    <w:p w14:paraId="6B5AE2D0" w14:textId="362F87FE" w:rsidR="00125805" w:rsidRDefault="00021760" w:rsidP="00125805">
      <w:pPr>
        <w:pStyle w:val="BodyText"/>
        <w:numPr>
          <w:ilvl w:val="0"/>
          <w:numId w:val="36"/>
        </w:numPr>
      </w:pPr>
      <w:r>
        <w:t>Review and embedding of meaningful nationally</w:t>
      </w:r>
      <w:r w:rsidR="00491E17">
        <w:t>-</w:t>
      </w:r>
      <w:r>
        <w:t>consistent monitoring and evaluation frameworks, as well as agile and responsive governance structures.</w:t>
      </w:r>
    </w:p>
    <w:p w14:paraId="1B1DEC10" w14:textId="1EB8399F" w:rsidR="005C63B9" w:rsidRDefault="005C63B9" w:rsidP="005C63B9">
      <w:pPr>
        <w:pStyle w:val="BodyText"/>
      </w:pPr>
      <w:r>
        <w:t>Vision 2020 Australia and our members stand ready to work together with the Australian Government Department of Health</w:t>
      </w:r>
      <w:r w:rsidR="00431FE4">
        <w:t xml:space="preserve"> and the Aboriginal and Torres Strait Islander Community Health Sector</w:t>
      </w:r>
      <w:r>
        <w:t xml:space="preserve"> to help shape the future of eye care service delivery to achiev</w:t>
      </w:r>
      <w:r w:rsidR="002B6D4D">
        <w:t>e</w:t>
      </w:r>
      <w:r>
        <w:t xml:space="preserve"> our shared goal of ending avoidable blindness in Australia. </w:t>
      </w:r>
    </w:p>
    <w:p w14:paraId="1B5D1964" w14:textId="77777777" w:rsidR="005C63B9" w:rsidRDefault="005C63B9" w:rsidP="00125805">
      <w:pPr>
        <w:pStyle w:val="BodyText"/>
      </w:pPr>
    </w:p>
    <w:p w14:paraId="679EA8C5" w14:textId="2433E69B" w:rsidR="00125805" w:rsidRDefault="00125805" w:rsidP="00125805">
      <w:pPr>
        <w:pStyle w:val="BodyText"/>
      </w:pPr>
    </w:p>
    <w:p w14:paraId="5D4F02A6" w14:textId="668F167A" w:rsidR="00D339F0" w:rsidRPr="00D339F0" w:rsidRDefault="00D339F0" w:rsidP="004038DA">
      <w:pPr>
        <w:pStyle w:val="BodyText"/>
      </w:pPr>
      <w:bookmarkStart w:id="6" w:name="_Attachment_1:_Members"/>
      <w:bookmarkEnd w:id="6"/>
    </w:p>
    <w:sectPr w:rsidR="00D339F0" w:rsidRPr="00D339F0" w:rsidSect="002F2F7A">
      <w:headerReference w:type="even" r:id="rId24"/>
      <w:headerReference w:type="default" r:id="rId25"/>
      <w:footerReference w:type="default" r:id="rId26"/>
      <w:headerReference w:type="first" r:id="rId27"/>
      <w:pgSz w:w="11906" w:h="16838" w:code="9"/>
      <w:pgMar w:top="226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EBBF7" w14:textId="77777777" w:rsidR="002C6142" w:rsidRDefault="002C6142" w:rsidP="00185154">
      <w:r>
        <w:separator/>
      </w:r>
    </w:p>
    <w:p w14:paraId="00FD999F" w14:textId="77777777" w:rsidR="002C6142" w:rsidRDefault="002C6142"/>
  </w:endnote>
  <w:endnote w:type="continuationSeparator" w:id="0">
    <w:p w14:paraId="0D06AFDC" w14:textId="77777777" w:rsidR="002C6142" w:rsidRDefault="002C6142" w:rsidP="00185154">
      <w:r>
        <w:continuationSeparator/>
      </w:r>
    </w:p>
    <w:p w14:paraId="54954C12" w14:textId="77777777" w:rsidR="002C6142" w:rsidRDefault="002C6142"/>
  </w:endnote>
  <w:endnote w:type="continuationNotice" w:id="1">
    <w:p w14:paraId="1760560C" w14:textId="77777777" w:rsidR="002C6142" w:rsidRDefault="002C61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Muli">
    <w:altName w:val="Calibri"/>
    <w:charset w:val="00"/>
    <w:family w:val="auto"/>
    <w:pitch w:val="variable"/>
    <w:sig w:usb0="800000E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BAF0" w14:textId="77777777" w:rsidR="00D339F0" w:rsidRDefault="00D339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A1446" w14:textId="77777777" w:rsidR="00D339F0" w:rsidRDefault="00D339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B7FE7" w14:textId="77777777" w:rsidR="003A754B" w:rsidRDefault="003A754B" w:rsidP="003A754B">
    <w:pPr>
      <w:pStyle w:val="Footer"/>
      <w:ind w:left="-113" w:right="-113"/>
    </w:pPr>
    <w:r w:rsidRPr="003A754B">
      <w:rPr>
        <w:rFonts w:ascii="Arial" w:hAnsi="Arial" w:cs="Arial"/>
        <w:color w:val="004B8D" w:themeColor="accent1"/>
        <w:szCs w:val="24"/>
        <w:lang w:eastAsia="en-AU"/>
      </w:rPr>
      <w:t>National body working in partnership to prevent avoidable blindness and improve vision care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732882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9F4D7C" w14:textId="7DBE04F5" w:rsidR="0016709B" w:rsidRDefault="0016709B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61BFC229" w14:textId="437D0115" w:rsidR="002F2F7A" w:rsidRPr="00A121DC" w:rsidRDefault="002F2F7A" w:rsidP="00A12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16AF6" w14:textId="77777777" w:rsidR="002C6142" w:rsidRDefault="002C6142" w:rsidP="00185154">
      <w:r>
        <w:separator/>
      </w:r>
    </w:p>
    <w:p w14:paraId="1BF14280" w14:textId="77777777" w:rsidR="002C6142" w:rsidRDefault="002C6142"/>
  </w:footnote>
  <w:footnote w:type="continuationSeparator" w:id="0">
    <w:p w14:paraId="7F1CE2ED" w14:textId="77777777" w:rsidR="002C6142" w:rsidRDefault="002C6142" w:rsidP="00185154">
      <w:r>
        <w:continuationSeparator/>
      </w:r>
    </w:p>
    <w:p w14:paraId="123A9AC8" w14:textId="77777777" w:rsidR="002C6142" w:rsidRDefault="002C6142"/>
  </w:footnote>
  <w:footnote w:type="continuationNotice" w:id="1">
    <w:p w14:paraId="4A3F3F78" w14:textId="77777777" w:rsidR="002C6142" w:rsidRDefault="002C6142"/>
  </w:footnote>
  <w:footnote w:id="2">
    <w:p w14:paraId="60ECD416" w14:textId="17307A7F" w:rsidR="00C94843" w:rsidRDefault="00C948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C94843">
          <w:rPr>
            <w:rStyle w:val="Hyperlink"/>
          </w:rPr>
          <w:t>Australia’s Long Term National Health Plan, Aug 2019</w:t>
        </w:r>
      </w:hyperlink>
      <w:r>
        <w:t>, p7</w:t>
      </w:r>
    </w:p>
  </w:footnote>
  <w:footnote w:id="3">
    <w:p w14:paraId="42499AD2" w14:textId="77777777" w:rsidR="00DA02CA" w:rsidRPr="00003176" w:rsidRDefault="00DA02CA" w:rsidP="00DA02C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Vision 2020 Australia Feedback on the Revised Outreach Service Delivery Standards and Reporting Template, Aug 2020</w:t>
        </w:r>
      </w:hyperlink>
    </w:p>
  </w:footnote>
  <w:footnote w:id="4">
    <w:p w14:paraId="4087D82F" w14:textId="77777777" w:rsidR="0062296C" w:rsidRPr="00553952" w:rsidRDefault="0062296C" w:rsidP="0062296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rStyle w:val="Hyperlink"/>
          </w:rPr>
          <w:t>National Agreement on Closing the Gap</w:t>
        </w:r>
      </w:hyperlink>
      <w:r>
        <w:t>, July 2020, p2</w:t>
      </w:r>
    </w:p>
  </w:footnote>
  <w:footnote w:id="5">
    <w:p w14:paraId="47EA32DE" w14:textId="77777777" w:rsidR="00E82023" w:rsidRPr="002B5C95" w:rsidRDefault="00E82023" w:rsidP="00E8202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World Health Organisation (WHO): </w:t>
      </w:r>
      <w:hyperlink r:id="rId4" w:anchor=":~:text=15.%20On%209%20October%202019%2C%20WHO%20published%20the,beneficiaries%20of%20these%20services%20throughout%20their%20life%20course." w:history="1">
        <w:r>
          <w:rPr>
            <w:rStyle w:val="Hyperlink"/>
          </w:rPr>
          <w:t>Integrated, people-centred eye care, including preventable blindness and impaired vision (who.int)</w:t>
        </w:r>
      </w:hyperlink>
      <w:r>
        <w:t>, Dec 2019</w:t>
      </w:r>
    </w:p>
  </w:footnote>
  <w:footnote w:id="6">
    <w:p w14:paraId="2B9C0E78" w14:textId="77777777" w:rsidR="00BC5492" w:rsidRPr="00FC66E2" w:rsidRDefault="00BC5492" w:rsidP="00BC5492">
      <w:pPr>
        <w:pStyle w:val="FootnoteText"/>
        <w:rPr>
          <w:rFonts w:asciiTheme="majorHAnsi" w:hAnsiTheme="majorHAnsi" w:cstheme="majorHAnsi"/>
          <w:lang w:val="en-US"/>
        </w:rPr>
      </w:pPr>
      <w:r w:rsidRPr="00FC66E2">
        <w:rPr>
          <w:rStyle w:val="FootnoteReference"/>
          <w:rFonts w:asciiTheme="majorHAnsi" w:hAnsiTheme="majorHAnsi" w:cstheme="majorHAnsi"/>
        </w:rPr>
        <w:footnoteRef/>
      </w:r>
      <w:r w:rsidRPr="00FC66E2">
        <w:rPr>
          <w:rFonts w:asciiTheme="majorHAnsi" w:hAnsiTheme="majorHAnsi" w:cstheme="majorHAnsi"/>
        </w:rPr>
        <w:t xml:space="preserve"> </w:t>
      </w:r>
      <w:hyperlink r:id="rId5" w:history="1">
        <w:r w:rsidRPr="00FC66E2">
          <w:rPr>
            <w:rStyle w:val="Hyperlink"/>
            <w:rFonts w:asciiTheme="majorHAnsi" w:hAnsiTheme="majorHAnsi" w:cstheme="majorHAnsi"/>
            <w:color w:val="E04A2C"/>
            <w:shd w:val="clear" w:color="auto" w:fill="FFFFFF"/>
          </w:rPr>
          <w:t>Kukutai, T. Taylor, J. (Ed.). (2016) </w:t>
        </w:r>
        <w:r w:rsidRPr="00FC66E2">
          <w:rPr>
            <w:rStyle w:val="Emphasis"/>
            <w:rFonts w:asciiTheme="majorHAnsi" w:hAnsiTheme="majorHAnsi" w:cstheme="majorHAnsi"/>
            <w:color w:val="E04A2C"/>
            <w:sz w:val="20"/>
            <w:u w:val="single"/>
            <w:shd w:val="clear" w:color="auto" w:fill="FFFFFF"/>
          </w:rPr>
          <w:t>Indigenous data sovereignty: toward an agenda</w:t>
        </w:r>
        <w:r w:rsidRPr="00FC66E2">
          <w:rPr>
            <w:rStyle w:val="Hyperlink"/>
            <w:rFonts w:asciiTheme="majorHAnsi" w:hAnsiTheme="majorHAnsi" w:cstheme="majorHAnsi"/>
            <w:color w:val="E04A2C"/>
            <w:shd w:val="clear" w:color="auto" w:fill="FFFFFF"/>
          </w:rPr>
          <w:t>. Canberra: ANU Press.</w:t>
        </w:r>
      </w:hyperlink>
      <w:r w:rsidRPr="00FC66E2">
        <w:rPr>
          <w:rFonts w:asciiTheme="majorHAnsi" w:hAnsiTheme="majorHAnsi" w:cstheme="majorHAnsi"/>
        </w:rPr>
        <w:t xml:space="preserve"> (page xxii)</w:t>
      </w:r>
    </w:p>
  </w:footnote>
  <w:footnote w:id="7">
    <w:p w14:paraId="1CE3D388" w14:textId="77777777" w:rsidR="00BC5492" w:rsidRPr="00234B90" w:rsidRDefault="00BC5492" w:rsidP="00BC549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34B90">
        <w:rPr>
          <w:rStyle w:val="FootnoteTextChar"/>
        </w:rPr>
        <w:t>Walter M, Lovett R, Bodkin-Andrews G and Lee V, Indigenous Data Sovereignty Communique, Indigenous Data Sovereignty Summit, Canberra, 20 June 2018</w:t>
      </w:r>
    </w:p>
  </w:footnote>
  <w:footnote w:id="8">
    <w:p w14:paraId="3A8128F1" w14:textId="77777777" w:rsidR="006E4D96" w:rsidRPr="00C918F0" w:rsidRDefault="006E4D96" w:rsidP="006E4D9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rStyle w:val="Hyperlink"/>
          </w:rPr>
          <w:t>Outreach Programs Service Delivery Standards (Australia Department of Health), October 2020</w:t>
        </w:r>
      </w:hyperlink>
      <w:r>
        <w:t>, p4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50374" w14:textId="02EC52E5" w:rsidR="003D48EE" w:rsidRDefault="003D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AD04" w14:textId="3F34D3EA" w:rsidR="003D48EE" w:rsidRDefault="003D48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6DEE" w14:textId="061F898B" w:rsidR="003D48EE" w:rsidRDefault="003D48E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F34F" w14:textId="22B51B7D" w:rsidR="003D48EE" w:rsidRDefault="003D48E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B2CE" w14:textId="18EC436F" w:rsidR="00706376" w:rsidRDefault="0070637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358F" w14:textId="68B27EBE" w:rsidR="003D48EE" w:rsidRDefault="003D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28C5"/>
    <w:multiLevelType w:val="multilevel"/>
    <w:tmpl w:val="11C64328"/>
    <w:styleLink w:val="ListParagraph0"/>
    <w:lvl w:ilvl="0">
      <w:start w:val="1"/>
      <w:numFmt w:val="none"/>
      <w:pStyle w:val="ListParagraph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64703E0"/>
    <w:multiLevelType w:val="multilevel"/>
    <w:tmpl w:val="A212FCEE"/>
    <w:numStyleLink w:val="ListNumberedHeadings"/>
  </w:abstractNum>
  <w:abstractNum w:abstractNumId="2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4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4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4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4"/>
      </w:rPr>
    </w:lvl>
    <w:lvl w:ilvl="4">
      <w:start w:val="1"/>
      <w:numFmt w:val="upperRoman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4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3" w15:restartNumberingAfterBreak="0">
    <w:nsid w:val="09955079"/>
    <w:multiLevelType w:val="multilevel"/>
    <w:tmpl w:val="A212FCEE"/>
    <w:numStyleLink w:val="ListNumberedHeadings"/>
  </w:abstractNum>
  <w:abstractNum w:abstractNumId="4" w15:restartNumberingAfterBreak="0">
    <w:nsid w:val="0CCD4DAA"/>
    <w:multiLevelType w:val="multilevel"/>
    <w:tmpl w:val="626C565E"/>
    <w:styleLink w:val="ListTableBulle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sz w:val="24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4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13763E16"/>
    <w:multiLevelType w:val="multilevel"/>
    <w:tmpl w:val="4B043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istAlpha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9807FEC"/>
    <w:multiLevelType w:val="hybridMultilevel"/>
    <w:tmpl w:val="BE1481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8" w15:restartNumberingAfterBreak="0">
    <w:nsid w:val="24B26EA3"/>
    <w:multiLevelType w:val="hybridMultilevel"/>
    <w:tmpl w:val="6A048F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6484E"/>
    <w:multiLevelType w:val="hybridMultilevel"/>
    <w:tmpl w:val="12EE8CE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0035E"/>
    <w:multiLevelType w:val="multilevel"/>
    <w:tmpl w:val="C240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C97353"/>
    <w:multiLevelType w:val="hybridMultilevel"/>
    <w:tmpl w:val="F1225E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912ED"/>
    <w:multiLevelType w:val="multilevel"/>
    <w:tmpl w:val="279CF11E"/>
    <w:styleLink w:val="ListBullet"/>
    <w:lvl w:ilvl="0">
      <w:start w:val="1"/>
      <w:numFmt w:val="bullet"/>
      <w:pStyle w:val="ListBullet0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4"/>
        <w:szCs w:val="20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pStyle w:val="ListBullet3"/>
      <w:lvlText w:val="•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  <w:sz w:val="24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ListBullet5"/>
      <w:lvlText w:val="•"/>
      <w:lvlJc w:val="left"/>
      <w:pPr>
        <w:tabs>
          <w:tab w:val="num" w:pos="2126"/>
        </w:tabs>
        <w:ind w:left="2126" w:hanging="425"/>
      </w:pPr>
      <w:rPr>
        <w:rFonts w:ascii="Arial" w:hAnsi="Arial" w:hint="default"/>
        <w:color w:val="auto"/>
        <w:sz w:val="24"/>
      </w:rPr>
    </w:lvl>
    <w:lvl w:ilvl="5">
      <w:start w:val="1"/>
      <w:numFmt w:val="bullet"/>
      <w:pStyle w:val="ListBullet6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8C236FF"/>
    <w:multiLevelType w:val="hybridMultilevel"/>
    <w:tmpl w:val="A4CEE11A"/>
    <w:lvl w:ilvl="0" w:tplc="EF146C28">
      <w:start w:val="1"/>
      <w:numFmt w:val="bullet"/>
      <w:pStyle w:val="Bulletlistlevel2indented"/>
      <w:lvlText w:val=""/>
      <w:lvlJc w:val="left"/>
      <w:pPr>
        <w:tabs>
          <w:tab w:val="num" w:pos="1134"/>
        </w:tabs>
        <w:ind w:left="1134" w:hanging="283"/>
      </w:pPr>
      <w:rPr>
        <w:rFonts w:ascii="Wingdings 2" w:hAnsi="Wingdings 2" w:hint="default"/>
        <w:b w:val="0"/>
        <w:i w:val="0"/>
        <w:color w:val="E36741"/>
        <w:sz w:val="18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0071FAE"/>
    <w:multiLevelType w:val="multilevel"/>
    <w:tmpl w:val="A212FCEE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4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auto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9C834AF"/>
    <w:multiLevelType w:val="multilevel"/>
    <w:tmpl w:val="9D80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3B0586"/>
    <w:multiLevelType w:val="hybridMultilevel"/>
    <w:tmpl w:val="27BEEE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C42E1"/>
    <w:multiLevelType w:val="multilevel"/>
    <w:tmpl w:val="FABC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5F1871"/>
    <w:multiLevelType w:val="multilevel"/>
    <w:tmpl w:val="A212FCEE"/>
    <w:numStyleLink w:val="ListNumberedHeadings"/>
  </w:abstractNum>
  <w:abstractNum w:abstractNumId="19" w15:restartNumberingAfterBreak="0">
    <w:nsid w:val="59E142E2"/>
    <w:multiLevelType w:val="multilevel"/>
    <w:tmpl w:val="3A9E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B0627A"/>
    <w:multiLevelType w:val="multilevel"/>
    <w:tmpl w:val="626C565E"/>
    <w:numStyleLink w:val="ListTableBullet"/>
  </w:abstractNum>
  <w:abstractNum w:abstractNumId="21" w15:restartNumberingAfterBreak="0">
    <w:nsid w:val="5FEC313C"/>
    <w:multiLevelType w:val="hybridMultilevel"/>
    <w:tmpl w:val="1FE87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92BC7"/>
    <w:multiLevelType w:val="multilevel"/>
    <w:tmpl w:val="BDFC207A"/>
    <w:numStyleLink w:val="ListTableNumber"/>
  </w:abstractNum>
  <w:abstractNum w:abstractNumId="23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59A1141"/>
    <w:multiLevelType w:val="hybridMultilevel"/>
    <w:tmpl w:val="47BC8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9706E"/>
    <w:multiLevelType w:val="multilevel"/>
    <w:tmpl w:val="11C64328"/>
    <w:numStyleLink w:val="ListParagraph0"/>
  </w:abstractNum>
  <w:abstractNum w:abstractNumId="26" w15:restartNumberingAfterBreak="0">
    <w:nsid w:val="741931E6"/>
    <w:multiLevelType w:val="multilevel"/>
    <w:tmpl w:val="E68A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F25F6F"/>
    <w:multiLevelType w:val="multilevel"/>
    <w:tmpl w:val="C256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70203F"/>
    <w:multiLevelType w:val="multilevel"/>
    <w:tmpl w:val="A212FCEE"/>
    <w:numStyleLink w:val="ListNumberedHeadings"/>
  </w:abstractNum>
  <w:abstractNum w:abstractNumId="29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30" w15:restartNumberingAfterBreak="0">
    <w:nsid w:val="7FD13F6D"/>
    <w:multiLevelType w:val="multilevel"/>
    <w:tmpl w:val="FEAC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249338">
    <w:abstractNumId w:val="2"/>
  </w:num>
  <w:num w:numId="2" w16cid:durableId="552158230">
    <w:abstractNumId w:val="29"/>
  </w:num>
  <w:num w:numId="3" w16cid:durableId="624628946">
    <w:abstractNumId w:val="7"/>
  </w:num>
  <w:num w:numId="4" w16cid:durableId="427890410">
    <w:abstractNumId w:val="14"/>
  </w:num>
  <w:num w:numId="5" w16cid:durableId="229004027">
    <w:abstractNumId w:val="0"/>
  </w:num>
  <w:num w:numId="6" w16cid:durableId="1035499006">
    <w:abstractNumId w:val="23"/>
  </w:num>
  <w:num w:numId="7" w16cid:durableId="713040244">
    <w:abstractNumId w:val="25"/>
  </w:num>
  <w:num w:numId="8" w16cid:durableId="2145390045">
    <w:abstractNumId w:val="2"/>
  </w:num>
  <w:num w:numId="9" w16cid:durableId="1958559330">
    <w:abstractNumId w:val="7"/>
  </w:num>
  <w:num w:numId="10" w16cid:durableId="1229534690">
    <w:abstractNumId w:val="5"/>
  </w:num>
  <w:num w:numId="11" w16cid:durableId="2140491450">
    <w:abstractNumId w:val="22"/>
  </w:num>
  <w:num w:numId="12" w16cid:durableId="1408654713">
    <w:abstractNumId w:val="18"/>
  </w:num>
  <w:num w:numId="13" w16cid:durableId="1053038010">
    <w:abstractNumId w:val="12"/>
  </w:num>
  <w:num w:numId="14" w16cid:durableId="1234042971">
    <w:abstractNumId w:val="4"/>
  </w:num>
  <w:num w:numId="15" w16cid:durableId="1784494589">
    <w:abstractNumId w:val="20"/>
  </w:num>
  <w:num w:numId="16" w16cid:durableId="1981228162">
    <w:abstractNumId w:val="3"/>
  </w:num>
  <w:num w:numId="17" w16cid:durableId="716391595">
    <w:abstractNumId w:val="1"/>
  </w:num>
  <w:num w:numId="18" w16cid:durableId="404765364">
    <w:abstractNumId w:val="14"/>
  </w:num>
  <w:num w:numId="19" w16cid:durableId="849442578">
    <w:abstractNumId w:val="28"/>
  </w:num>
  <w:num w:numId="20" w16cid:durableId="1568954936">
    <w:abstractNumId w:val="28"/>
  </w:num>
  <w:num w:numId="21" w16cid:durableId="2050448694">
    <w:abstractNumId w:val="28"/>
  </w:num>
  <w:num w:numId="22" w16cid:durableId="146019556">
    <w:abstractNumId w:val="6"/>
  </w:num>
  <w:num w:numId="23" w16cid:durableId="919561707">
    <w:abstractNumId w:val="11"/>
  </w:num>
  <w:num w:numId="24" w16cid:durableId="237786781">
    <w:abstractNumId w:val="15"/>
  </w:num>
  <w:num w:numId="25" w16cid:durableId="1941522151">
    <w:abstractNumId w:val="30"/>
  </w:num>
  <w:num w:numId="26" w16cid:durableId="1542789931">
    <w:abstractNumId w:val="30"/>
  </w:num>
  <w:num w:numId="27" w16cid:durableId="1355837334">
    <w:abstractNumId w:val="10"/>
  </w:num>
  <w:num w:numId="28" w16cid:durableId="318076405">
    <w:abstractNumId w:val="17"/>
  </w:num>
  <w:num w:numId="29" w16cid:durableId="917324834">
    <w:abstractNumId w:val="19"/>
  </w:num>
  <w:num w:numId="30" w16cid:durableId="1247378152">
    <w:abstractNumId w:val="26"/>
  </w:num>
  <w:num w:numId="31" w16cid:durableId="683819852">
    <w:abstractNumId w:val="27"/>
  </w:num>
  <w:num w:numId="32" w16cid:durableId="1041442879">
    <w:abstractNumId w:val="8"/>
  </w:num>
  <w:num w:numId="33" w16cid:durableId="654380660">
    <w:abstractNumId w:val="13"/>
  </w:num>
  <w:num w:numId="34" w16cid:durableId="1497725657">
    <w:abstractNumId w:val="9"/>
  </w:num>
  <w:num w:numId="35" w16cid:durableId="432213938">
    <w:abstractNumId w:val="21"/>
  </w:num>
  <w:num w:numId="36" w16cid:durableId="1055157757">
    <w:abstractNumId w:val="16"/>
  </w:num>
  <w:num w:numId="37" w16cid:durableId="2086493147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CE"/>
    <w:rsid w:val="00003176"/>
    <w:rsid w:val="00006100"/>
    <w:rsid w:val="00007607"/>
    <w:rsid w:val="00013C0A"/>
    <w:rsid w:val="00021760"/>
    <w:rsid w:val="000236F4"/>
    <w:rsid w:val="00032EC5"/>
    <w:rsid w:val="00035779"/>
    <w:rsid w:val="000358CA"/>
    <w:rsid w:val="000427B8"/>
    <w:rsid w:val="00044033"/>
    <w:rsid w:val="00065E72"/>
    <w:rsid w:val="00071C7D"/>
    <w:rsid w:val="00076B86"/>
    <w:rsid w:val="00076F97"/>
    <w:rsid w:val="000771B8"/>
    <w:rsid w:val="000870BB"/>
    <w:rsid w:val="00087D93"/>
    <w:rsid w:val="000916AC"/>
    <w:rsid w:val="000A4447"/>
    <w:rsid w:val="000A457E"/>
    <w:rsid w:val="000B3EBE"/>
    <w:rsid w:val="000B6998"/>
    <w:rsid w:val="000B6FA1"/>
    <w:rsid w:val="000C0C22"/>
    <w:rsid w:val="000C1D1E"/>
    <w:rsid w:val="000C4657"/>
    <w:rsid w:val="000C5684"/>
    <w:rsid w:val="000C6408"/>
    <w:rsid w:val="000D72B8"/>
    <w:rsid w:val="000E0A89"/>
    <w:rsid w:val="000F319C"/>
    <w:rsid w:val="000F4A35"/>
    <w:rsid w:val="0010190D"/>
    <w:rsid w:val="001063C6"/>
    <w:rsid w:val="00124640"/>
    <w:rsid w:val="00125805"/>
    <w:rsid w:val="0013218E"/>
    <w:rsid w:val="0013431E"/>
    <w:rsid w:val="001354C9"/>
    <w:rsid w:val="00135F35"/>
    <w:rsid w:val="00140E8B"/>
    <w:rsid w:val="00145CCD"/>
    <w:rsid w:val="001474A2"/>
    <w:rsid w:val="001505D8"/>
    <w:rsid w:val="00154790"/>
    <w:rsid w:val="00156423"/>
    <w:rsid w:val="001600E5"/>
    <w:rsid w:val="00162479"/>
    <w:rsid w:val="00162854"/>
    <w:rsid w:val="001669B6"/>
    <w:rsid w:val="0016709B"/>
    <w:rsid w:val="00175B12"/>
    <w:rsid w:val="001829A7"/>
    <w:rsid w:val="00184392"/>
    <w:rsid w:val="00184C30"/>
    <w:rsid w:val="00185154"/>
    <w:rsid w:val="00185FAC"/>
    <w:rsid w:val="00186E49"/>
    <w:rsid w:val="00187621"/>
    <w:rsid w:val="0019114D"/>
    <w:rsid w:val="00192BDC"/>
    <w:rsid w:val="001973E3"/>
    <w:rsid w:val="001A5437"/>
    <w:rsid w:val="001C00EC"/>
    <w:rsid w:val="001C05DC"/>
    <w:rsid w:val="001C43A8"/>
    <w:rsid w:val="001C4CB5"/>
    <w:rsid w:val="001C79EC"/>
    <w:rsid w:val="001C7BF9"/>
    <w:rsid w:val="001D29FA"/>
    <w:rsid w:val="001D695A"/>
    <w:rsid w:val="001E1BF7"/>
    <w:rsid w:val="001E5DB4"/>
    <w:rsid w:val="001F16CA"/>
    <w:rsid w:val="0020176E"/>
    <w:rsid w:val="002078C1"/>
    <w:rsid w:val="002106C4"/>
    <w:rsid w:val="00210DEF"/>
    <w:rsid w:val="00216014"/>
    <w:rsid w:val="00221819"/>
    <w:rsid w:val="00222215"/>
    <w:rsid w:val="0023007B"/>
    <w:rsid w:val="00234B90"/>
    <w:rsid w:val="0024176B"/>
    <w:rsid w:val="00245F4D"/>
    <w:rsid w:val="0025119D"/>
    <w:rsid w:val="00252201"/>
    <w:rsid w:val="00253ADA"/>
    <w:rsid w:val="00254C49"/>
    <w:rsid w:val="00254DD8"/>
    <w:rsid w:val="00264182"/>
    <w:rsid w:val="00271ECA"/>
    <w:rsid w:val="00273BAD"/>
    <w:rsid w:val="0028040C"/>
    <w:rsid w:val="0028512E"/>
    <w:rsid w:val="002851B1"/>
    <w:rsid w:val="00286419"/>
    <w:rsid w:val="0029214F"/>
    <w:rsid w:val="00294066"/>
    <w:rsid w:val="002A286C"/>
    <w:rsid w:val="002A590E"/>
    <w:rsid w:val="002B4003"/>
    <w:rsid w:val="002B5C95"/>
    <w:rsid w:val="002B6D4D"/>
    <w:rsid w:val="002C1041"/>
    <w:rsid w:val="002C18BC"/>
    <w:rsid w:val="002C5B1C"/>
    <w:rsid w:val="002C6142"/>
    <w:rsid w:val="002D0339"/>
    <w:rsid w:val="002D4254"/>
    <w:rsid w:val="002D4E6E"/>
    <w:rsid w:val="002E62B5"/>
    <w:rsid w:val="002F2F7A"/>
    <w:rsid w:val="002F4862"/>
    <w:rsid w:val="00301893"/>
    <w:rsid w:val="00310FA3"/>
    <w:rsid w:val="003312E5"/>
    <w:rsid w:val="003405A4"/>
    <w:rsid w:val="003411DD"/>
    <w:rsid w:val="003442B8"/>
    <w:rsid w:val="00354EF7"/>
    <w:rsid w:val="00365D77"/>
    <w:rsid w:val="0037398C"/>
    <w:rsid w:val="0037447F"/>
    <w:rsid w:val="0037618F"/>
    <w:rsid w:val="003853C1"/>
    <w:rsid w:val="00391355"/>
    <w:rsid w:val="003918E1"/>
    <w:rsid w:val="0039190E"/>
    <w:rsid w:val="003969E0"/>
    <w:rsid w:val="00396DA0"/>
    <w:rsid w:val="003A04C1"/>
    <w:rsid w:val="003A08A5"/>
    <w:rsid w:val="003A754B"/>
    <w:rsid w:val="003A7C39"/>
    <w:rsid w:val="003B0945"/>
    <w:rsid w:val="003B097F"/>
    <w:rsid w:val="003B126F"/>
    <w:rsid w:val="003B4DCF"/>
    <w:rsid w:val="003C20B8"/>
    <w:rsid w:val="003D3B71"/>
    <w:rsid w:val="003D48EE"/>
    <w:rsid w:val="003D56AF"/>
    <w:rsid w:val="003D71B3"/>
    <w:rsid w:val="003E1EF3"/>
    <w:rsid w:val="003E269E"/>
    <w:rsid w:val="003E2E43"/>
    <w:rsid w:val="003E440F"/>
    <w:rsid w:val="003E4A8B"/>
    <w:rsid w:val="003E5319"/>
    <w:rsid w:val="003E7A55"/>
    <w:rsid w:val="003F5584"/>
    <w:rsid w:val="00400927"/>
    <w:rsid w:val="00401EAC"/>
    <w:rsid w:val="004038DA"/>
    <w:rsid w:val="00404615"/>
    <w:rsid w:val="00407776"/>
    <w:rsid w:val="0041572C"/>
    <w:rsid w:val="004254BC"/>
    <w:rsid w:val="00427353"/>
    <w:rsid w:val="00431FE4"/>
    <w:rsid w:val="004343EB"/>
    <w:rsid w:val="0043564D"/>
    <w:rsid w:val="0043628A"/>
    <w:rsid w:val="00436674"/>
    <w:rsid w:val="004402FD"/>
    <w:rsid w:val="0044289A"/>
    <w:rsid w:val="00444AE6"/>
    <w:rsid w:val="004478FD"/>
    <w:rsid w:val="004517DE"/>
    <w:rsid w:val="0045196D"/>
    <w:rsid w:val="004523E6"/>
    <w:rsid w:val="004535A2"/>
    <w:rsid w:val="00457AB7"/>
    <w:rsid w:val="0046341F"/>
    <w:rsid w:val="004700B3"/>
    <w:rsid w:val="004700FD"/>
    <w:rsid w:val="00470EA5"/>
    <w:rsid w:val="00483923"/>
    <w:rsid w:val="004846EB"/>
    <w:rsid w:val="00485C96"/>
    <w:rsid w:val="00491C59"/>
    <w:rsid w:val="00491E17"/>
    <w:rsid w:val="004B0961"/>
    <w:rsid w:val="004B7DAE"/>
    <w:rsid w:val="004C0258"/>
    <w:rsid w:val="004C47F3"/>
    <w:rsid w:val="004C587E"/>
    <w:rsid w:val="004D64C4"/>
    <w:rsid w:val="004E01DC"/>
    <w:rsid w:val="004E512A"/>
    <w:rsid w:val="004E5488"/>
    <w:rsid w:val="004E59B3"/>
    <w:rsid w:val="004E79A4"/>
    <w:rsid w:val="004F2A3C"/>
    <w:rsid w:val="004F3D6F"/>
    <w:rsid w:val="0051056D"/>
    <w:rsid w:val="005146F1"/>
    <w:rsid w:val="005331C9"/>
    <w:rsid w:val="005362EE"/>
    <w:rsid w:val="00540372"/>
    <w:rsid w:val="00550911"/>
    <w:rsid w:val="0055219D"/>
    <w:rsid w:val="0055353F"/>
    <w:rsid w:val="00553952"/>
    <w:rsid w:val="0056633F"/>
    <w:rsid w:val="0056756F"/>
    <w:rsid w:val="005713E5"/>
    <w:rsid w:val="00585794"/>
    <w:rsid w:val="00586D18"/>
    <w:rsid w:val="0059250C"/>
    <w:rsid w:val="005A435A"/>
    <w:rsid w:val="005B0C40"/>
    <w:rsid w:val="005C63B9"/>
    <w:rsid w:val="005D15BB"/>
    <w:rsid w:val="005D24F8"/>
    <w:rsid w:val="005D3D3B"/>
    <w:rsid w:val="005D620B"/>
    <w:rsid w:val="005E259B"/>
    <w:rsid w:val="005F5D02"/>
    <w:rsid w:val="006025ED"/>
    <w:rsid w:val="00602FC4"/>
    <w:rsid w:val="006061B6"/>
    <w:rsid w:val="0061089F"/>
    <w:rsid w:val="00611D14"/>
    <w:rsid w:val="006179F3"/>
    <w:rsid w:val="0062062C"/>
    <w:rsid w:val="0062296C"/>
    <w:rsid w:val="006262B0"/>
    <w:rsid w:val="00630061"/>
    <w:rsid w:val="00633235"/>
    <w:rsid w:val="006366A1"/>
    <w:rsid w:val="00651D08"/>
    <w:rsid w:val="00652956"/>
    <w:rsid w:val="0065325A"/>
    <w:rsid w:val="00661A1A"/>
    <w:rsid w:val="00671195"/>
    <w:rsid w:val="00674316"/>
    <w:rsid w:val="00674D5E"/>
    <w:rsid w:val="006759F6"/>
    <w:rsid w:val="006830F7"/>
    <w:rsid w:val="00684E74"/>
    <w:rsid w:val="006853DF"/>
    <w:rsid w:val="00697C48"/>
    <w:rsid w:val="006A1801"/>
    <w:rsid w:val="006A56B8"/>
    <w:rsid w:val="006B0287"/>
    <w:rsid w:val="006C3975"/>
    <w:rsid w:val="006D22C5"/>
    <w:rsid w:val="006D6A13"/>
    <w:rsid w:val="006E1ED5"/>
    <w:rsid w:val="006E279F"/>
    <w:rsid w:val="006E4D96"/>
    <w:rsid w:val="006F6BC0"/>
    <w:rsid w:val="00706376"/>
    <w:rsid w:val="007077DF"/>
    <w:rsid w:val="00713CCE"/>
    <w:rsid w:val="00715D5D"/>
    <w:rsid w:val="0072319F"/>
    <w:rsid w:val="00732BF7"/>
    <w:rsid w:val="00737593"/>
    <w:rsid w:val="00740F16"/>
    <w:rsid w:val="007569D1"/>
    <w:rsid w:val="00757A95"/>
    <w:rsid w:val="00760896"/>
    <w:rsid w:val="00770BF1"/>
    <w:rsid w:val="0077300F"/>
    <w:rsid w:val="00774E81"/>
    <w:rsid w:val="00777FDC"/>
    <w:rsid w:val="0078331D"/>
    <w:rsid w:val="007864FC"/>
    <w:rsid w:val="0078781A"/>
    <w:rsid w:val="00792979"/>
    <w:rsid w:val="007A223B"/>
    <w:rsid w:val="007A3630"/>
    <w:rsid w:val="007A3DE6"/>
    <w:rsid w:val="007A5346"/>
    <w:rsid w:val="007B1B14"/>
    <w:rsid w:val="007B1E80"/>
    <w:rsid w:val="007C69D6"/>
    <w:rsid w:val="007C6F73"/>
    <w:rsid w:val="007D23A2"/>
    <w:rsid w:val="007E2D9B"/>
    <w:rsid w:val="007E7897"/>
    <w:rsid w:val="007F3BDD"/>
    <w:rsid w:val="007F5A18"/>
    <w:rsid w:val="00817D6F"/>
    <w:rsid w:val="00822503"/>
    <w:rsid w:val="00824C0C"/>
    <w:rsid w:val="0082674F"/>
    <w:rsid w:val="008326A5"/>
    <w:rsid w:val="0083386A"/>
    <w:rsid w:val="00842156"/>
    <w:rsid w:val="00845732"/>
    <w:rsid w:val="0084689D"/>
    <w:rsid w:val="008476BD"/>
    <w:rsid w:val="008539CC"/>
    <w:rsid w:val="00854C76"/>
    <w:rsid w:val="008572D9"/>
    <w:rsid w:val="00857310"/>
    <w:rsid w:val="00857DFC"/>
    <w:rsid w:val="00861E13"/>
    <w:rsid w:val="00875F0D"/>
    <w:rsid w:val="00876BF2"/>
    <w:rsid w:val="00882062"/>
    <w:rsid w:val="00883392"/>
    <w:rsid w:val="00886789"/>
    <w:rsid w:val="00892496"/>
    <w:rsid w:val="00895CC4"/>
    <w:rsid w:val="008A6F22"/>
    <w:rsid w:val="008B17B1"/>
    <w:rsid w:val="008B4CAD"/>
    <w:rsid w:val="008B5B2A"/>
    <w:rsid w:val="008B5D8F"/>
    <w:rsid w:val="008C5157"/>
    <w:rsid w:val="008C558A"/>
    <w:rsid w:val="008D0497"/>
    <w:rsid w:val="008D64E8"/>
    <w:rsid w:val="008E0328"/>
    <w:rsid w:val="008F0308"/>
    <w:rsid w:val="008F0A2D"/>
    <w:rsid w:val="008F4BAD"/>
    <w:rsid w:val="008F4E0B"/>
    <w:rsid w:val="008F5BD6"/>
    <w:rsid w:val="008F6386"/>
    <w:rsid w:val="00904A46"/>
    <w:rsid w:val="00907866"/>
    <w:rsid w:val="00913299"/>
    <w:rsid w:val="009200EB"/>
    <w:rsid w:val="00924BD8"/>
    <w:rsid w:val="00927D4C"/>
    <w:rsid w:val="00934019"/>
    <w:rsid w:val="00943E0B"/>
    <w:rsid w:val="009453E1"/>
    <w:rsid w:val="0095273E"/>
    <w:rsid w:val="0095655B"/>
    <w:rsid w:val="009571D7"/>
    <w:rsid w:val="00964091"/>
    <w:rsid w:val="00964153"/>
    <w:rsid w:val="00973EC8"/>
    <w:rsid w:val="00991372"/>
    <w:rsid w:val="009A199C"/>
    <w:rsid w:val="009A1E0A"/>
    <w:rsid w:val="009A42F2"/>
    <w:rsid w:val="009A6A65"/>
    <w:rsid w:val="009C0F73"/>
    <w:rsid w:val="009C5027"/>
    <w:rsid w:val="009D6DF1"/>
    <w:rsid w:val="009E3BCF"/>
    <w:rsid w:val="009F3A8F"/>
    <w:rsid w:val="009F5E9C"/>
    <w:rsid w:val="009F6CE7"/>
    <w:rsid w:val="00A07960"/>
    <w:rsid w:val="00A121DC"/>
    <w:rsid w:val="00A33099"/>
    <w:rsid w:val="00A41250"/>
    <w:rsid w:val="00A41D4E"/>
    <w:rsid w:val="00A43CB4"/>
    <w:rsid w:val="00A52A8F"/>
    <w:rsid w:val="00A63844"/>
    <w:rsid w:val="00A640FF"/>
    <w:rsid w:val="00A7435D"/>
    <w:rsid w:val="00A83B38"/>
    <w:rsid w:val="00A87E86"/>
    <w:rsid w:val="00A9139E"/>
    <w:rsid w:val="00A91AC3"/>
    <w:rsid w:val="00A9457A"/>
    <w:rsid w:val="00AA6010"/>
    <w:rsid w:val="00AA7024"/>
    <w:rsid w:val="00AB2A5D"/>
    <w:rsid w:val="00AC5A5B"/>
    <w:rsid w:val="00AD36A8"/>
    <w:rsid w:val="00AD6EC2"/>
    <w:rsid w:val="00AE4C26"/>
    <w:rsid w:val="00AF2204"/>
    <w:rsid w:val="00AF6031"/>
    <w:rsid w:val="00AF6A13"/>
    <w:rsid w:val="00B012F3"/>
    <w:rsid w:val="00B1211A"/>
    <w:rsid w:val="00B1273F"/>
    <w:rsid w:val="00B172FD"/>
    <w:rsid w:val="00B2713B"/>
    <w:rsid w:val="00B32A84"/>
    <w:rsid w:val="00B42A9B"/>
    <w:rsid w:val="00B42E02"/>
    <w:rsid w:val="00B43F57"/>
    <w:rsid w:val="00B518BF"/>
    <w:rsid w:val="00B53493"/>
    <w:rsid w:val="00B55D18"/>
    <w:rsid w:val="00B56CC8"/>
    <w:rsid w:val="00B60F89"/>
    <w:rsid w:val="00B61042"/>
    <w:rsid w:val="00B65281"/>
    <w:rsid w:val="00B668FB"/>
    <w:rsid w:val="00B70247"/>
    <w:rsid w:val="00B70F19"/>
    <w:rsid w:val="00B76B8E"/>
    <w:rsid w:val="00B77380"/>
    <w:rsid w:val="00B8347A"/>
    <w:rsid w:val="00BA45AE"/>
    <w:rsid w:val="00BA4F4A"/>
    <w:rsid w:val="00BA66AD"/>
    <w:rsid w:val="00BB49AA"/>
    <w:rsid w:val="00BB6906"/>
    <w:rsid w:val="00BC2DD3"/>
    <w:rsid w:val="00BC327E"/>
    <w:rsid w:val="00BC5492"/>
    <w:rsid w:val="00BC54E0"/>
    <w:rsid w:val="00BC5B99"/>
    <w:rsid w:val="00BC67B1"/>
    <w:rsid w:val="00BD1BBB"/>
    <w:rsid w:val="00BD3AEA"/>
    <w:rsid w:val="00BD7CF3"/>
    <w:rsid w:val="00BE16D4"/>
    <w:rsid w:val="00BE18A5"/>
    <w:rsid w:val="00BF15C1"/>
    <w:rsid w:val="00BF2C53"/>
    <w:rsid w:val="00BF5ACD"/>
    <w:rsid w:val="00C000C3"/>
    <w:rsid w:val="00C02E60"/>
    <w:rsid w:val="00C032D5"/>
    <w:rsid w:val="00C10095"/>
    <w:rsid w:val="00C2073C"/>
    <w:rsid w:val="00C2402E"/>
    <w:rsid w:val="00C240FD"/>
    <w:rsid w:val="00C24374"/>
    <w:rsid w:val="00C302EF"/>
    <w:rsid w:val="00C37500"/>
    <w:rsid w:val="00C40A22"/>
    <w:rsid w:val="00C410EB"/>
    <w:rsid w:val="00C6143E"/>
    <w:rsid w:val="00C61441"/>
    <w:rsid w:val="00C72D19"/>
    <w:rsid w:val="00C73D9D"/>
    <w:rsid w:val="00C74C53"/>
    <w:rsid w:val="00C75E89"/>
    <w:rsid w:val="00C844DA"/>
    <w:rsid w:val="00C918F0"/>
    <w:rsid w:val="00C94843"/>
    <w:rsid w:val="00C95383"/>
    <w:rsid w:val="00C97431"/>
    <w:rsid w:val="00CA10B0"/>
    <w:rsid w:val="00CC675A"/>
    <w:rsid w:val="00CD1D3A"/>
    <w:rsid w:val="00CD7CBE"/>
    <w:rsid w:val="00CE32F2"/>
    <w:rsid w:val="00CF41E0"/>
    <w:rsid w:val="00CF575D"/>
    <w:rsid w:val="00D075E5"/>
    <w:rsid w:val="00D07E5A"/>
    <w:rsid w:val="00D11E06"/>
    <w:rsid w:val="00D139AB"/>
    <w:rsid w:val="00D16DDC"/>
    <w:rsid w:val="00D17D28"/>
    <w:rsid w:val="00D20E64"/>
    <w:rsid w:val="00D241D3"/>
    <w:rsid w:val="00D24EC3"/>
    <w:rsid w:val="00D253E1"/>
    <w:rsid w:val="00D27FA8"/>
    <w:rsid w:val="00D339F0"/>
    <w:rsid w:val="00D365D3"/>
    <w:rsid w:val="00D41876"/>
    <w:rsid w:val="00D42F7B"/>
    <w:rsid w:val="00D44172"/>
    <w:rsid w:val="00D55089"/>
    <w:rsid w:val="00D63F2C"/>
    <w:rsid w:val="00D65684"/>
    <w:rsid w:val="00D65E0E"/>
    <w:rsid w:val="00D72138"/>
    <w:rsid w:val="00D72489"/>
    <w:rsid w:val="00D745A8"/>
    <w:rsid w:val="00D8349C"/>
    <w:rsid w:val="00DA02CA"/>
    <w:rsid w:val="00DA299E"/>
    <w:rsid w:val="00DA76FA"/>
    <w:rsid w:val="00DB1FB1"/>
    <w:rsid w:val="00DB2B49"/>
    <w:rsid w:val="00DC28FE"/>
    <w:rsid w:val="00DC290C"/>
    <w:rsid w:val="00DC33B4"/>
    <w:rsid w:val="00DC62DB"/>
    <w:rsid w:val="00DD4076"/>
    <w:rsid w:val="00DD4656"/>
    <w:rsid w:val="00DD74CE"/>
    <w:rsid w:val="00DF01DF"/>
    <w:rsid w:val="00E018FB"/>
    <w:rsid w:val="00E135C8"/>
    <w:rsid w:val="00E17257"/>
    <w:rsid w:val="00E21DC0"/>
    <w:rsid w:val="00E323B3"/>
    <w:rsid w:val="00E4248F"/>
    <w:rsid w:val="00E437A6"/>
    <w:rsid w:val="00E50F1E"/>
    <w:rsid w:val="00E6763B"/>
    <w:rsid w:val="00E71528"/>
    <w:rsid w:val="00E82023"/>
    <w:rsid w:val="00E8358B"/>
    <w:rsid w:val="00E856F8"/>
    <w:rsid w:val="00E85F87"/>
    <w:rsid w:val="00EA25B8"/>
    <w:rsid w:val="00EA72F6"/>
    <w:rsid w:val="00EB58BD"/>
    <w:rsid w:val="00EB6D30"/>
    <w:rsid w:val="00EC0FFC"/>
    <w:rsid w:val="00EC3CE8"/>
    <w:rsid w:val="00ED2E33"/>
    <w:rsid w:val="00ED3024"/>
    <w:rsid w:val="00ED3E03"/>
    <w:rsid w:val="00ED71B6"/>
    <w:rsid w:val="00EE4F3C"/>
    <w:rsid w:val="00EE5474"/>
    <w:rsid w:val="00EF0E10"/>
    <w:rsid w:val="00EF1948"/>
    <w:rsid w:val="00EF2076"/>
    <w:rsid w:val="00EF2A2C"/>
    <w:rsid w:val="00EF2AFB"/>
    <w:rsid w:val="00F103A0"/>
    <w:rsid w:val="00F2148F"/>
    <w:rsid w:val="00F27E00"/>
    <w:rsid w:val="00F32327"/>
    <w:rsid w:val="00F33D5C"/>
    <w:rsid w:val="00F41A3A"/>
    <w:rsid w:val="00F431FB"/>
    <w:rsid w:val="00F5010F"/>
    <w:rsid w:val="00F533D9"/>
    <w:rsid w:val="00F53690"/>
    <w:rsid w:val="00F53ACB"/>
    <w:rsid w:val="00F60E46"/>
    <w:rsid w:val="00F6184E"/>
    <w:rsid w:val="00F8007E"/>
    <w:rsid w:val="00F81C8A"/>
    <w:rsid w:val="00F82594"/>
    <w:rsid w:val="00F84805"/>
    <w:rsid w:val="00F8509A"/>
    <w:rsid w:val="00F85647"/>
    <w:rsid w:val="00F85E41"/>
    <w:rsid w:val="00F978A9"/>
    <w:rsid w:val="00FA2B02"/>
    <w:rsid w:val="00FA5216"/>
    <w:rsid w:val="00FB1115"/>
    <w:rsid w:val="00FB4AE4"/>
    <w:rsid w:val="00FC02A5"/>
    <w:rsid w:val="00FC27D4"/>
    <w:rsid w:val="00FC66E2"/>
    <w:rsid w:val="00FD202C"/>
    <w:rsid w:val="00FD4EB9"/>
    <w:rsid w:val="00FD5739"/>
    <w:rsid w:val="00FE5CDD"/>
    <w:rsid w:val="00FE6DCF"/>
    <w:rsid w:val="00FE7A02"/>
    <w:rsid w:val="00FF65FC"/>
    <w:rsid w:val="00FF781B"/>
    <w:rsid w:val="0934E53D"/>
    <w:rsid w:val="0D035896"/>
    <w:rsid w:val="18460B3D"/>
    <w:rsid w:val="2186E1AC"/>
    <w:rsid w:val="2993B9F9"/>
    <w:rsid w:val="2EBA35B4"/>
    <w:rsid w:val="338DA6D7"/>
    <w:rsid w:val="3A54B850"/>
    <w:rsid w:val="3E07362D"/>
    <w:rsid w:val="451D572A"/>
    <w:rsid w:val="46FCEF8A"/>
    <w:rsid w:val="4904F2E0"/>
    <w:rsid w:val="4951D65A"/>
    <w:rsid w:val="4AA0C341"/>
    <w:rsid w:val="4DD86403"/>
    <w:rsid w:val="51A0B03E"/>
    <w:rsid w:val="565AF904"/>
    <w:rsid w:val="596E7A56"/>
    <w:rsid w:val="68BCE823"/>
    <w:rsid w:val="69DDDB69"/>
    <w:rsid w:val="6CC42C68"/>
    <w:rsid w:val="74E5D5F9"/>
    <w:rsid w:val="7DCE1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CC2FBA"/>
  <w15:docId w15:val="{F9A6A4AC-1A8A-476D-91E6-0C33EA40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Strong" w:semiHidden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E02"/>
    <w:pPr>
      <w:spacing w:before="0" w:after="0"/>
    </w:pPr>
  </w:style>
  <w:style w:type="paragraph" w:styleId="Heading1">
    <w:name w:val="heading 1"/>
    <w:basedOn w:val="Normal"/>
    <w:next w:val="BodyText"/>
    <w:link w:val="Heading1Char"/>
    <w:uiPriority w:val="9"/>
    <w:qFormat/>
    <w:rsid w:val="00B42E02"/>
    <w:pPr>
      <w:keepNext/>
      <w:keepLines/>
      <w:widowControl w:val="0"/>
      <w:tabs>
        <w:tab w:val="right" w:leader="dot" w:pos="8789"/>
      </w:tabs>
      <w:spacing w:before="240" w:after="120"/>
      <w:outlineLvl w:val="0"/>
    </w:pPr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B42E02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B42E02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B42E02"/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B42E02"/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B42E02"/>
    <w:rPr>
      <w:rFonts w:asciiTheme="majorHAnsi" w:eastAsia="Times New Roman" w:hAnsiTheme="majorHAnsi" w:cs="Times New Roman"/>
      <w:b/>
      <w:bCs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A9139E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B42E02"/>
    <w:pPr>
      <w:numPr>
        <w:numId w:val="21"/>
      </w:numPr>
    </w:pPr>
  </w:style>
  <w:style w:type="paragraph" w:customStyle="1" w:styleId="NbrHeading2">
    <w:name w:val="Nbr Heading 2"/>
    <w:basedOn w:val="Heading2"/>
    <w:qFormat/>
    <w:rsid w:val="00B42E02"/>
    <w:pPr>
      <w:numPr>
        <w:ilvl w:val="1"/>
        <w:numId w:val="21"/>
      </w:numPr>
    </w:pPr>
  </w:style>
  <w:style w:type="paragraph" w:customStyle="1" w:styleId="NbrHeading3">
    <w:name w:val="Nbr Heading 3"/>
    <w:basedOn w:val="Heading3"/>
    <w:qFormat/>
    <w:rsid w:val="00B42E02"/>
    <w:pPr>
      <w:numPr>
        <w:ilvl w:val="2"/>
        <w:numId w:val="21"/>
      </w:numPr>
    </w:pPr>
  </w:style>
  <w:style w:type="paragraph" w:customStyle="1" w:styleId="NbrHeading4">
    <w:name w:val="Nbr Heading 4"/>
    <w:basedOn w:val="Heading4"/>
    <w:next w:val="BodyText"/>
    <w:semiHidden/>
    <w:qFormat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991372"/>
    <w:pPr>
      <w:numPr>
        <w:ilvl w:val="1"/>
      </w:numPr>
      <w:spacing w:before="280" w:after="280"/>
    </w:pPr>
    <w:rPr>
      <w:rFonts w:asciiTheme="majorHAnsi" w:eastAsiaTheme="majorEastAsia" w:hAnsiTheme="majorHAnsi" w:cstheme="majorBidi"/>
      <w:iCs/>
      <w:color w:val="004B8D" w:themeColor="accent1"/>
      <w:sz w:val="4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991372"/>
    <w:rPr>
      <w:rFonts w:asciiTheme="majorHAnsi" w:eastAsiaTheme="majorEastAsia" w:hAnsiTheme="majorHAnsi" w:cstheme="majorBidi"/>
      <w:iCs/>
      <w:color w:val="004B8D" w:themeColor="accent1"/>
      <w:sz w:val="4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15BB"/>
    <w:rPr>
      <w:sz w:val="17"/>
    </w:rPr>
  </w:style>
  <w:style w:type="paragraph" w:styleId="Footer">
    <w:name w:val="footer"/>
    <w:basedOn w:val="Normal"/>
    <w:link w:val="FooterChar"/>
    <w:uiPriority w:val="99"/>
    <w:rsid w:val="00FC27D4"/>
    <w:pPr>
      <w:tabs>
        <w:tab w:val="left" w:pos="567"/>
        <w:tab w:val="right" w:pos="9639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FC27D4"/>
    <w:rPr>
      <w:noProof/>
      <w:sz w:val="24"/>
    </w:rPr>
  </w:style>
  <w:style w:type="paragraph" w:styleId="ListNumber0">
    <w:name w:val="List Number"/>
    <w:basedOn w:val="Normal"/>
    <w:uiPriority w:val="1"/>
    <w:qFormat/>
    <w:rsid w:val="00CA10B0"/>
    <w:pPr>
      <w:numPr>
        <w:numId w:val="9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875F0D"/>
    <w:pPr>
      <w:numPr>
        <w:numId w:val="13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rsid w:val="00C410EB"/>
    <w:rPr>
      <w:color w:val="004B8D" w:themeColor="accent1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CA10B0"/>
    <w:pPr>
      <w:spacing w:before="60" w:after="60"/>
    </w:pPr>
    <w:rPr>
      <w:b/>
      <w:color w:val="FFFFFF" w:themeColor="background1"/>
    </w:rPr>
  </w:style>
  <w:style w:type="paragraph" w:customStyle="1" w:styleId="TableBody">
    <w:name w:val="Table Body"/>
    <w:basedOn w:val="Normal"/>
    <w:uiPriority w:val="3"/>
    <w:qFormat/>
    <w:rsid w:val="006C3975"/>
    <w:pPr>
      <w:spacing w:before="60" w:after="60"/>
    </w:pPr>
  </w:style>
  <w:style w:type="paragraph" w:customStyle="1" w:styleId="TableBullet">
    <w:name w:val="Table Bullet"/>
    <w:basedOn w:val="Normal"/>
    <w:uiPriority w:val="4"/>
    <w:qFormat/>
    <w:rsid w:val="00875F0D"/>
    <w:pPr>
      <w:numPr>
        <w:numId w:val="15"/>
      </w:numPr>
      <w:spacing w:before="60" w:after="60"/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A9139E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D15BB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">
    <w:name w:val="List Paragraph"/>
    <w:basedOn w:val="ListBullet0"/>
    <w:uiPriority w:val="1"/>
    <w:semiHidden/>
    <w:qFormat/>
    <w:rsid w:val="003A08A5"/>
    <w:pPr>
      <w:numPr>
        <w:numId w:val="7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qFormat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F5010F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CA10B0"/>
    <w:pPr>
      <w:numPr>
        <w:numId w:val="3"/>
      </w:numPr>
    </w:pPr>
  </w:style>
  <w:style w:type="numbering" w:customStyle="1" w:styleId="ListParagraph0">
    <w:name w:val="List Paragraph0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CA10B0"/>
    <w:pPr>
      <w:numPr>
        <w:numId w:val="8"/>
      </w:numPr>
    </w:pPr>
  </w:style>
  <w:style w:type="numbering" w:customStyle="1" w:styleId="ListAlpha">
    <w:name w:val="List_Alpha"/>
    <w:uiPriority w:val="99"/>
    <w:rsid w:val="00CA10B0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C410EB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rsid w:val="00C410EB"/>
    <w:rPr>
      <w:color w:val="004B8D" w:themeColor="accent1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CA10B0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CA10B0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CA10B0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CA10B0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CA10B0"/>
    <w:pPr>
      <w:numPr>
        <w:ilvl w:val="4"/>
        <w:numId w:val="10"/>
      </w:numPr>
    </w:pPr>
  </w:style>
  <w:style w:type="paragraph" w:styleId="ListBullet2">
    <w:name w:val="List Bullet 2"/>
    <w:basedOn w:val="ListBullet0"/>
    <w:uiPriority w:val="19"/>
    <w:rsid w:val="00875F0D"/>
    <w:pPr>
      <w:numPr>
        <w:ilvl w:val="1"/>
      </w:numPr>
      <w:spacing w:after="120"/>
    </w:pPr>
  </w:style>
  <w:style w:type="paragraph" w:styleId="ListBullet3">
    <w:name w:val="List Bullet 3"/>
    <w:basedOn w:val="ListBullet0"/>
    <w:uiPriority w:val="19"/>
    <w:rsid w:val="00875F0D"/>
    <w:pPr>
      <w:numPr>
        <w:ilvl w:val="2"/>
      </w:numPr>
      <w:spacing w:after="120"/>
    </w:pPr>
  </w:style>
  <w:style w:type="paragraph" w:styleId="ListBullet4">
    <w:name w:val="List Bullet 4"/>
    <w:basedOn w:val="ListBullet0"/>
    <w:uiPriority w:val="19"/>
    <w:rsid w:val="00875F0D"/>
    <w:pPr>
      <w:numPr>
        <w:ilvl w:val="3"/>
      </w:numPr>
      <w:spacing w:after="120"/>
    </w:pPr>
  </w:style>
  <w:style w:type="paragraph" w:styleId="ListBullet5">
    <w:name w:val="List Bullet 5"/>
    <w:basedOn w:val="ListBullet0"/>
    <w:uiPriority w:val="19"/>
    <w:rsid w:val="00875F0D"/>
    <w:pPr>
      <w:numPr>
        <w:ilvl w:val="4"/>
      </w:numPr>
      <w:spacing w:after="120"/>
    </w:pPr>
  </w:style>
  <w:style w:type="paragraph" w:customStyle="1" w:styleId="ListBullet6">
    <w:name w:val="List Bullet 6"/>
    <w:basedOn w:val="ListBullet0"/>
    <w:uiPriority w:val="19"/>
    <w:rsid w:val="00875F0D"/>
    <w:pPr>
      <w:numPr>
        <w:ilvl w:val="5"/>
      </w:numPr>
      <w:spacing w:after="120"/>
    </w:pPr>
  </w:style>
  <w:style w:type="paragraph" w:styleId="ListNumber2">
    <w:name w:val="List Number 2"/>
    <w:basedOn w:val="ListNumber0"/>
    <w:uiPriority w:val="19"/>
    <w:rsid w:val="002E62B5"/>
    <w:pPr>
      <w:numPr>
        <w:ilvl w:val="1"/>
      </w:numPr>
      <w:spacing w:after="120"/>
    </w:pPr>
  </w:style>
  <w:style w:type="paragraph" w:styleId="ListNumber3">
    <w:name w:val="List Number 3"/>
    <w:basedOn w:val="ListNumber0"/>
    <w:uiPriority w:val="19"/>
    <w:rsid w:val="002E62B5"/>
    <w:pPr>
      <w:numPr>
        <w:ilvl w:val="2"/>
      </w:numPr>
      <w:spacing w:after="120"/>
      <w:ind w:left="1276"/>
    </w:pPr>
  </w:style>
  <w:style w:type="paragraph" w:styleId="ListNumber4">
    <w:name w:val="List Number 4"/>
    <w:basedOn w:val="ListNumber0"/>
    <w:uiPriority w:val="19"/>
    <w:rsid w:val="002E62B5"/>
    <w:pPr>
      <w:numPr>
        <w:ilvl w:val="3"/>
      </w:numPr>
      <w:spacing w:after="120"/>
      <w:ind w:left="1701"/>
    </w:pPr>
  </w:style>
  <w:style w:type="paragraph" w:styleId="ListNumber5">
    <w:name w:val="List Number 5"/>
    <w:basedOn w:val="ListNumber0"/>
    <w:uiPriority w:val="19"/>
    <w:rsid w:val="002E62B5"/>
    <w:pPr>
      <w:numPr>
        <w:ilvl w:val="4"/>
      </w:numPr>
      <w:spacing w:after="120"/>
      <w:ind w:left="2126"/>
    </w:pPr>
  </w:style>
  <w:style w:type="paragraph" w:customStyle="1" w:styleId="ListNumber6">
    <w:name w:val="List Number 6"/>
    <w:basedOn w:val="ListNumber0"/>
    <w:uiPriority w:val="19"/>
    <w:rsid w:val="002E62B5"/>
    <w:pPr>
      <w:numPr>
        <w:ilvl w:val="5"/>
      </w:numPr>
      <w:spacing w:after="120"/>
      <w:ind w:left="2551"/>
    </w:pPr>
  </w:style>
  <w:style w:type="paragraph" w:customStyle="1" w:styleId="ListParagraph2">
    <w:name w:val="List Paragraph 2"/>
    <w:basedOn w:val="ListParagraph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875F0D"/>
    <w:pPr>
      <w:numPr>
        <w:numId w:val="13"/>
      </w:numPr>
    </w:pPr>
  </w:style>
  <w:style w:type="numbering" w:customStyle="1" w:styleId="ListNumberedHeadings">
    <w:name w:val="List_NumberedHeadings"/>
    <w:uiPriority w:val="99"/>
    <w:rsid w:val="00B42E02"/>
    <w:pPr>
      <w:numPr>
        <w:numId w:val="4"/>
      </w:numPr>
    </w:pPr>
  </w:style>
  <w:style w:type="numbering" w:customStyle="1" w:styleId="ListTableBullet">
    <w:name w:val="List_TableBullet"/>
    <w:uiPriority w:val="99"/>
    <w:rsid w:val="00875F0D"/>
    <w:pPr>
      <w:numPr>
        <w:numId w:val="14"/>
      </w:numPr>
    </w:pPr>
  </w:style>
  <w:style w:type="numbering" w:customStyle="1" w:styleId="ListTableNumber">
    <w:name w:val="List_TableNumber"/>
    <w:uiPriority w:val="99"/>
    <w:rsid w:val="003A08A5"/>
    <w:pPr>
      <w:numPr>
        <w:numId w:val="6"/>
      </w:numPr>
    </w:pPr>
  </w:style>
  <w:style w:type="paragraph" w:customStyle="1" w:styleId="TableBullet2">
    <w:name w:val="Table Bullet 2"/>
    <w:basedOn w:val="TableBullet"/>
    <w:uiPriority w:val="19"/>
    <w:rsid w:val="00875F0D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6C3975"/>
    <w:rPr>
      <w:b w:val="0"/>
      <w:i/>
    </w:rPr>
  </w:style>
  <w:style w:type="table" w:customStyle="1" w:styleId="V2020Table">
    <w:name w:val="V2020 Table"/>
    <w:basedOn w:val="TableNormal"/>
    <w:uiPriority w:val="99"/>
    <w:rsid w:val="00E17257"/>
    <w:pPr>
      <w:spacing w:before="0"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cPr>
      <w:shd w:val="clear" w:color="auto" w:fill="auto"/>
    </w:tcPr>
    <w:tblStylePr w:type="firstRow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D44172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eastAsia="Times New Roman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D44172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eastAsia="Times New Roman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D44172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D44172"/>
    <w:rPr>
      <w:lang w:eastAsia="en-AU"/>
    </w:rPr>
  </w:style>
  <w:style w:type="table" w:styleId="TableGridLight">
    <w:name w:val="Grid Table Light"/>
    <w:basedOn w:val="TableNormal"/>
    <w:uiPriority w:val="40"/>
    <w:rsid w:val="003C20B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DefaultParagraphFont"/>
    <w:rsid w:val="00D72489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D72489"/>
    <w:rPr>
      <w:rFonts w:ascii="Arial-ItalicMT" w:hAnsi="Arial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D72489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D72489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F194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C614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14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143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240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ndnoteReference">
    <w:name w:val="endnote reference"/>
    <w:basedOn w:val="FootnoteReference"/>
    <w:uiPriority w:val="99"/>
    <w:unhideWhenUsed/>
    <w:qFormat/>
    <w:rsid w:val="00FC66E2"/>
    <w:rPr>
      <w:rFonts w:ascii="Muli" w:hAnsi="Muli"/>
      <w:b w:val="0"/>
      <w:i w:val="0"/>
      <w:color w:val="1A1918"/>
      <w:sz w:val="20"/>
      <w:vertAlign w:val="superscript"/>
    </w:rPr>
  </w:style>
  <w:style w:type="paragraph" w:customStyle="1" w:styleId="Bulletlistlevel2indented">
    <w:name w:val="Bullet list level 2 indented"/>
    <w:qFormat/>
    <w:rsid w:val="00FC66E2"/>
    <w:pPr>
      <w:numPr>
        <w:numId w:val="33"/>
      </w:numPr>
      <w:spacing w:before="60" w:after="0" w:line="276" w:lineRule="auto"/>
      <w:ind w:right="567"/>
    </w:pPr>
    <w:rPr>
      <w:rFonts w:ascii="Muli" w:eastAsiaTheme="minorEastAsia" w:hAnsi="Muli"/>
      <w:lang w:eastAsia="en-AU"/>
    </w:rPr>
  </w:style>
  <w:style w:type="paragraph" w:styleId="EndnoteText">
    <w:name w:val="endnote text"/>
    <w:aliases w:val="Endnote Body"/>
    <w:basedOn w:val="Normal"/>
    <w:link w:val="EndnoteTextChar"/>
    <w:uiPriority w:val="99"/>
    <w:unhideWhenUsed/>
    <w:qFormat/>
    <w:rsid w:val="00FC66E2"/>
    <w:pPr>
      <w:spacing w:before="160" w:after="160"/>
      <w:ind w:left="170" w:hanging="170"/>
    </w:pPr>
    <w:rPr>
      <w:rFonts w:ascii="Muli" w:hAnsi="Muli"/>
      <w:sz w:val="18"/>
      <w:szCs w:val="20"/>
    </w:rPr>
  </w:style>
  <w:style w:type="character" w:customStyle="1" w:styleId="EndnoteTextChar">
    <w:name w:val="Endnote Text Char"/>
    <w:aliases w:val="Endnote Body Char"/>
    <w:basedOn w:val="DefaultParagraphFont"/>
    <w:link w:val="EndnoteText"/>
    <w:uiPriority w:val="99"/>
    <w:rsid w:val="00FC66E2"/>
    <w:rPr>
      <w:rFonts w:ascii="Muli" w:hAnsi="Muli"/>
      <w:sz w:val="18"/>
      <w:szCs w:val="20"/>
    </w:rPr>
  </w:style>
  <w:style w:type="character" w:styleId="Emphasis">
    <w:name w:val="Emphasis"/>
    <w:basedOn w:val="DefaultParagraphFont"/>
    <w:uiPriority w:val="20"/>
    <w:qFormat/>
    <w:rsid w:val="00FC66E2"/>
    <w:rPr>
      <w:rFonts w:ascii="Arial" w:hAnsi="Arial"/>
      <w:i/>
      <w:iCs/>
      <w:sz w:val="24"/>
    </w:rPr>
  </w:style>
  <w:style w:type="paragraph" w:customStyle="1" w:styleId="AIATSISBodyText">
    <w:name w:val="AIATSIS Body Text"/>
    <w:basedOn w:val="BodyText"/>
    <w:rsid w:val="00FC66E2"/>
    <w:pPr>
      <w:spacing w:before="0" w:line="240" w:lineRule="auto"/>
    </w:pPr>
    <w:rPr>
      <w:rFonts w:ascii="Calibri" w:hAnsi="Calibri"/>
      <w:lang w:eastAsia="en-US"/>
    </w:rPr>
  </w:style>
  <w:style w:type="paragraph" w:customStyle="1" w:styleId="Footnote">
    <w:name w:val="Footnote"/>
    <w:basedOn w:val="EndnoteText"/>
    <w:rsid w:val="00234B90"/>
    <w:rPr>
      <w:rFonts w:asciiTheme="majorHAnsi" w:hAnsiTheme="majorHAnsi" w:cstheme="majorHAnsi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920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6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losingthegap.gov.au/sites/default/files/2021-05/ctg-national-agreement_apr-21.pdf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5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vision2020australia.org.au/resources/vision-2020-australia-feedback-on-the-revised-outreach-service-delivery-standards-and-reporting-template/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4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https://www.health.gov.au/sites/default/files/documents/2021/12/outreach-programs-service-delivery-standards.pdf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vision2020australia.org.au/resources/strong-eyes-strong-communitie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https://www.closingthegap.gov.au/sites/default/files/2021-05/ctg-national-agreement_apr-21.pdf" TargetMode="External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losingthegap.gov.au/sites/default/files/2021-05/ctg-national-agreement_apr-21.pdf" TargetMode="External"/><Relationship Id="rId2" Type="http://schemas.openxmlformats.org/officeDocument/2006/relationships/hyperlink" Target="https://www.vision2020australia.org.au/wp-content/uploads/2020/08/DoH-outreach-review-submission-Aug2020_f.pdf" TargetMode="External"/><Relationship Id="rId1" Type="http://schemas.openxmlformats.org/officeDocument/2006/relationships/hyperlink" Target="https://www.health.gov.au/resources/publications/australias-long-term-national-health-plan" TargetMode="External"/><Relationship Id="rId6" Type="http://schemas.openxmlformats.org/officeDocument/2006/relationships/hyperlink" Target="https://www.health.gov.au/sites/default/files/documents/2021/12/outreach-programs-service-delivery-standards.pdf" TargetMode="External"/><Relationship Id="rId5" Type="http://schemas.openxmlformats.org/officeDocument/2006/relationships/hyperlink" Target="https://healthinfonet.ecu.edu.au/key-resources/publications/34152/?title=Indigenous+data+sovereignty%3A+toward+an+agenda&amp;contentid=34152_1" TargetMode="External"/><Relationship Id="rId4" Type="http://schemas.openxmlformats.org/officeDocument/2006/relationships/hyperlink" Target="https://apps.who.int/gb/ebwha/pdf_files/EB146/B146_13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erebrianik\Documents\Office%20Templates\Report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658B390FDE4C36A0EE66C56ED02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7EA5F-1784-4DA4-86C9-D261BB556319}"/>
      </w:docPartPr>
      <w:docPartBody>
        <w:p w:rsidR="001973E3" w:rsidRDefault="001973E3">
          <w:pPr>
            <w:pStyle w:val="DE658B390FDE4C36A0EE66C56ED0297C"/>
          </w:pPr>
          <w:r w:rsidRPr="00035779">
            <w:rPr>
              <w:shd w:val="clear" w:color="auto" w:fill="D9D9D9" w:themeFill="background1" w:themeFillShade="D9"/>
            </w:rPr>
            <w:t>[Title]</w:t>
          </w:r>
        </w:p>
      </w:docPartBody>
    </w:docPart>
    <w:docPart>
      <w:docPartPr>
        <w:name w:val="B4480DD48AAA40D1A5C9700E78FFA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3FAE8-8917-48F9-89AD-75378D81AC38}"/>
      </w:docPartPr>
      <w:docPartBody>
        <w:p w:rsidR="001973E3" w:rsidRDefault="001973E3">
          <w:pPr>
            <w:pStyle w:val="B4480DD48AAA40D1A5C9700E78FFA655"/>
          </w:pPr>
          <w:r>
            <w:t>[Choose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Muli">
    <w:altName w:val="Calibri"/>
    <w:charset w:val="00"/>
    <w:family w:val="auto"/>
    <w:pitch w:val="variable"/>
    <w:sig w:usb0="800000E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E3"/>
    <w:rsid w:val="0001378C"/>
    <w:rsid w:val="000251F3"/>
    <w:rsid w:val="00072C61"/>
    <w:rsid w:val="001973E3"/>
    <w:rsid w:val="0033343E"/>
    <w:rsid w:val="003F3FEB"/>
    <w:rsid w:val="00A40E6F"/>
    <w:rsid w:val="00E7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658B390FDE4C36A0EE66C56ED0297C">
    <w:name w:val="DE658B390FDE4C36A0EE66C56ED0297C"/>
  </w:style>
  <w:style w:type="paragraph" w:customStyle="1" w:styleId="B4480DD48AAA40D1A5C9700E78FFA655">
    <w:name w:val="B4480DD48AAA40D1A5C9700E78FFA6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80E7CE5CF114B90954CA3A674009A" ma:contentTypeVersion="13" ma:contentTypeDescription="Create a new document." ma:contentTypeScope="" ma:versionID="e1a09e201d36259b448d0fa3f92e8007">
  <xsd:schema xmlns:xsd="http://www.w3.org/2001/XMLSchema" xmlns:xs="http://www.w3.org/2001/XMLSchema" xmlns:p="http://schemas.microsoft.com/office/2006/metadata/properties" xmlns:ns2="78d0d9b4-ea0a-4f91-8ef9-801b5021269f" xmlns:ns3="37c2fd94-8164-4e76-99fa-8733568052a1" targetNamespace="http://schemas.microsoft.com/office/2006/metadata/properties" ma:root="true" ma:fieldsID="444c7241c050517adc6107aefd89a090" ns2:_="" ns3:_="">
    <xsd:import namespace="78d0d9b4-ea0a-4f91-8ef9-801b5021269f"/>
    <xsd:import namespace="37c2fd94-8164-4e76-99fa-87335680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d9b4-ea0a-4f91-8ef9-801b5021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2fd94-8164-4e76-99fa-873356805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FECC22-4DEF-4A04-899A-51CF94C7F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81D61-CE2A-4EA4-8234-3D59C492DC7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78d0d9b4-ea0a-4f91-8ef9-801b5021269f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37c2fd94-8164-4e76-99fa-8733568052a1"/>
  </ds:schemaRefs>
</ds:datastoreItem>
</file>

<file path=customXml/itemProps4.xml><?xml version="1.0" encoding="utf-8"?>
<ds:datastoreItem xmlns:ds="http://schemas.openxmlformats.org/officeDocument/2006/customXml" ds:itemID="{B8304EDC-98FD-4523-BB83-05AF3C43366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A9727E7-41D3-4D12-A86B-D206C5B09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0d9b4-ea0a-4f91-8ef9-801b5021269f"/>
    <ds:schemaRef ds:uri="37c2fd94-8164-4e76-99fa-873356805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2021</Template>
  <TotalTime>4</TotalTime>
  <Pages>5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Vision 2020 Australia submission to Health Policy Analysis (HPA) regarding the Evaluation of Outreach Programs</vt:lpstr>
    </vt:vector>
  </TitlesOfParts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 2020 Australia submission to Health Policy Analysis (HPA) regarding the Evaluation of Outreach Programs</dc:title>
  <dc:subject/>
  <dc:creator>Roman Serebrianik</dc:creator>
  <cp:keywords/>
  <cp:lastModifiedBy>Roman Serebrianik</cp:lastModifiedBy>
  <cp:revision>6</cp:revision>
  <cp:lastPrinted>2022-04-04T06:59:00Z</cp:lastPrinted>
  <dcterms:created xsi:type="dcterms:W3CDTF">2022-04-04T06:08:00Z</dcterms:created>
  <dcterms:modified xsi:type="dcterms:W3CDTF">2022-04-04T07:00:00Z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0x010100BC080E7CE5CF114B90954CA3A674009A</vt:lpwstr>
  </property>
</Properties>
</file>